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390C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深圳市福田区风湿病专科医院</w:t>
      </w:r>
      <w:r>
        <w:rPr>
          <w:rFonts w:hint="eastAsia" w:ascii="方正小标宋简体" w:hAnsi="方正小标宋简体" w:eastAsia="方正小标宋简体" w:cs="方正小标宋简体"/>
          <w:color w:val="auto"/>
          <w:sz w:val="36"/>
          <w:szCs w:val="36"/>
          <w:highlight w:val="none"/>
          <w:lang w:eastAsia="zh-CN"/>
        </w:rPr>
        <w:t>空调清洗保养服务采购项目</w:t>
      </w:r>
      <w:r>
        <w:rPr>
          <w:rFonts w:hint="eastAsia" w:ascii="方正小标宋简体" w:hAnsi="方正小标宋简体" w:eastAsia="方正小标宋简体" w:cs="方正小标宋简体"/>
          <w:b w:val="0"/>
          <w:bCs/>
          <w:color w:val="auto"/>
          <w:sz w:val="36"/>
          <w:szCs w:val="36"/>
          <w:highlight w:val="none"/>
        </w:rPr>
        <w:t>采购需求</w:t>
      </w:r>
    </w:p>
    <w:p w14:paraId="19BE6FC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14:paraId="5A6B2AA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项目名称：空调清洗保养服务采购项目</w:t>
      </w:r>
    </w:p>
    <w:p w14:paraId="1318EB1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eastAsia="zh-CN"/>
        </w:rPr>
        <w:t>采购人：深圳市福田区风湿病专科医院</w:t>
      </w:r>
    </w:p>
    <w:p w14:paraId="4D5A74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r>
        <w:rPr>
          <w:rFonts w:hint="eastAsia" w:ascii="仿宋_GB2312" w:hAnsi="仿宋_GB2312" w:eastAsia="仿宋_GB2312" w:cs="仿宋_GB2312"/>
          <w:b w:val="0"/>
          <w:bCs/>
          <w:color w:val="auto"/>
          <w:sz w:val="28"/>
          <w:szCs w:val="28"/>
          <w:highlight w:val="none"/>
          <w:lang w:val="en-US" w:eastAsia="zh-CN"/>
        </w:rPr>
        <w:t>2.8万元</w:t>
      </w:r>
    </w:p>
    <w:p w14:paraId="329E0BF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val="0"/>
          <w:color w:val="auto"/>
          <w:kern w:val="2"/>
          <w:sz w:val="28"/>
          <w:szCs w:val="28"/>
          <w:highlight w:val="none"/>
          <w:u w:val="none"/>
          <w:lang w:val="en-US" w:eastAsia="zh-CN" w:bidi="ar-SA"/>
        </w:rPr>
        <w:t>公开遴选</w:t>
      </w:r>
    </w:p>
    <w:p w14:paraId="148279E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eastAsia="zh-CN"/>
        </w:rPr>
        <w:t>评审方法：</w:t>
      </w:r>
      <w:r>
        <w:rPr>
          <w:rFonts w:hint="eastAsia" w:ascii="仿宋_GB2312" w:hAnsi="仿宋_GB2312" w:eastAsia="仿宋_GB2312" w:cs="仿宋_GB2312"/>
          <w:b w:val="0"/>
          <w:bCs/>
          <w:color w:val="auto"/>
          <w:sz w:val="28"/>
          <w:szCs w:val="28"/>
          <w:highlight w:val="none"/>
          <w:lang w:val="en-US" w:eastAsia="zh-CN"/>
        </w:rPr>
        <w:t>综合评分法</w:t>
      </w:r>
    </w:p>
    <w:p w14:paraId="5AFF4F2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项目概述：本项目旨在为深圳市福田区风湿病专科医院提供专业、高效的空调清洗保养服务，确保本单位内所有空调设备运行安全、性能良好、卫生达标，为医护人员和患者创造良好的工作环境。服务需严格遵循国家相关标准和规范。</w:t>
      </w:r>
    </w:p>
    <w:p w14:paraId="7D2806A7">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7.标的所属行业：根据《工业和信息化部、国家统计局、国家发展和改革委员会、财政部关于印发中小企业划型标准规定的通知》（工信部联企业〔2011〕300 号），本项目</w:t>
      </w:r>
      <w:bookmarkStart w:id="0" w:name="_Hlk71924718"/>
      <w:r>
        <w:rPr>
          <w:rFonts w:hint="eastAsia" w:ascii="仿宋_GB2312" w:hAnsi="仿宋_GB2312" w:eastAsia="仿宋_GB2312" w:cs="仿宋_GB2312"/>
          <w:color w:val="auto"/>
          <w:kern w:val="2"/>
          <w:sz w:val="28"/>
          <w:szCs w:val="28"/>
          <w:highlight w:val="none"/>
          <w:lang w:val="en-US" w:eastAsia="zh-CN" w:bidi="ar-SA"/>
        </w:rPr>
        <w:t>采购标的（服务需求）对应的中小企业划分标准所属行业</w:t>
      </w:r>
      <w:bookmarkEnd w:id="0"/>
      <w:r>
        <w:rPr>
          <w:rFonts w:hint="eastAsia" w:ascii="仿宋_GB2312" w:hAnsi="仿宋_GB2312" w:eastAsia="仿宋_GB2312" w:cs="仿宋_GB2312"/>
          <w:color w:val="auto"/>
          <w:kern w:val="2"/>
          <w:sz w:val="28"/>
          <w:szCs w:val="28"/>
          <w:highlight w:val="none"/>
          <w:lang w:val="en-US" w:eastAsia="zh-CN" w:bidi="ar-SA"/>
        </w:rPr>
        <w:t>为其他未列明行业</w:t>
      </w:r>
    </w:p>
    <w:p w14:paraId="1E76CD0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14:paraId="650F9D5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1.项目总体要求</w:t>
      </w:r>
    </w:p>
    <w:p w14:paraId="14E829D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项目旨在为深圳市福田区风湿病专科医院提供专业、高效的空调清洗保养服务，确保本单位内所有空调设备运行安全、性能良好、卫生达标，为医护人员和患者创造良好的工作环境。服务需严格遵循国家相关标准和规范。</w:t>
      </w:r>
    </w:p>
    <w:p w14:paraId="573B472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2.服务具体要求及质量标准</w:t>
      </w:r>
    </w:p>
    <w:p w14:paraId="5B081E2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（1）空调清洗保养清单明细</w:t>
      </w:r>
    </w:p>
    <w:tbl>
      <w:tblPr>
        <w:tblStyle w:val="8"/>
        <w:tblW w:w="7848" w:type="dxa"/>
        <w:tblInd w:w="8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2"/>
        <w:gridCol w:w="5063"/>
        <w:gridCol w:w="834"/>
        <w:gridCol w:w="839"/>
      </w:tblGrid>
      <w:tr w14:paraId="4C1C6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112" w:type="dxa"/>
            <w:vAlign w:val="top"/>
          </w:tcPr>
          <w:p w14:paraId="3313D6BC">
            <w:pPr>
              <w:pStyle w:val="7"/>
              <w:spacing w:before="170" w:line="229" w:lineRule="auto"/>
              <w:ind w:left="256"/>
            </w:pPr>
            <w:r>
              <w:rPr>
                <w:b/>
                <w:bCs/>
                <w:spacing w:val="10"/>
              </w:rPr>
              <w:t>序号</w:t>
            </w:r>
          </w:p>
        </w:tc>
        <w:tc>
          <w:tcPr>
            <w:tcW w:w="5063" w:type="dxa"/>
            <w:vAlign w:val="top"/>
          </w:tcPr>
          <w:p w14:paraId="71714725">
            <w:pPr>
              <w:pStyle w:val="7"/>
              <w:spacing w:before="170" w:line="229" w:lineRule="auto"/>
              <w:ind w:left="2213"/>
            </w:pPr>
            <w:r>
              <w:rPr>
                <w:b/>
                <w:bCs/>
                <w:spacing w:val="8"/>
              </w:rPr>
              <w:t>设备名称</w:t>
            </w:r>
          </w:p>
        </w:tc>
        <w:tc>
          <w:tcPr>
            <w:tcW w:w="834" w:type="dxa"/>
            <w:vAlign w:val="top"/>
          </w:tcPr>
          <w:p w14:paraId="7B5E4965">
            <w:pPr>
              <w:pStyle w:val="7"/>
              <w:spacing w:before="167" w:line="228" w:lineRule="auto"/>
              <w:ind w:left="119"/>
            </w:pPr>
            <w:r>
              <w:rPr>
                <w:b/>
                <w:bCs/>
                <w:spacing w:val="-1"/>
              </w:rPr>
              <w:t>数量</w:t>
            </w:r>
          </w:p>
        </w:tc>
        <w:tc>
          <w:tcPr>
            <w:tcW w:w="839" w:type="dxa"/>
            <w:vAlign w:val="top"/>
          </w:tcPr>
          <w:p w14:paraId="22AD34C2">
            <w:pPr>
              <w:pStyle w:val="7"/>
              <w:spacing w:before="168" w:line="228" w:lineRule="auto"/>
              <w:ind w:left="120"/>
            </w:pPr>
            <w:r>
              <w:rPr>
                <w:b/>
                <w:bCs/>
                <w:spacing w:val="-1"/>
              </w:rPr>
              <w:t>单位</w:t>
            </w:r>
          </w:p>
        </w:tc>
      </w:tr>
      <w:tr w14:paraId="4FC3E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12" w:type="dxa"/>
            <w:vAlign w:val="top"/>
          </w:tcPr>
          <w:p w14:paraId="180810FF">
            <w:pPr>
              <w:pStyle w:val="7"/>
              <w:spacing w:before="181" w:line="270" w:lineRule="exact"/>
              <w:ind w:left="433"/>
            </w:pPr>
            <w:r>
              <w:rPr>
                <w:position w:val="1"/>
              </w:rPr>
              <w:t>1</w:t>
            </w:r>
          </w:p>
        </w:tc>
        <w:tc>
          <w:tcPr>
            <w:tcW w:w="5063" w:type="dxa"/>
            <w:vAlign w:val="top"/>
          </w:tcPr>
          <w:p w14:paraId="42E7ED3F">
            <w:pPr>
              <w:pStyle w:val="7"/>
              <w:spacing w:before="159" w:line="228" w:lineRule="auto"/>
              <w:ind w:left="1120"/>
            </w:pPr>
            <w:r>
              <w:rPr>
                <w:spacing w:val="9"/>
              </w:rPr>
              <w:t>中央空调</w:t>
            </w:r>
            <w:r>
              <w:rPr>
                <w:rFonts w:hint="eastAsia"/>
                <w:spacing w:val="9"/>
                <w:lang w:eastAsia="zh-CN"/>
              </w:rPr>
              <w:t>（</w:t>
            </w:r>
            <w:r>
              <w:rPr>
                <w:rFonts w:hint="eastAsia"/>
                <w:spacing w:val="9"/>
                <w:lang w:val="en-US" w:eastAsia="zh-CN"/>
              </w:rPr>
              <w:t>约</w:t>
            </w:r>
            <w:r>
              <w:rPr>
                <w:spacing w:val="-15"/>
              </w:rPr>
              <w:t xml:space="preserve"> </w:t>
            </w:r>
            <w:r>
              <w:rPr>
                <w:rFonts w:hint="eastAsia"/>
                <w:spacing w:val="9"/>
                <w:lang w:val="en-US" w:eastAsia="zh-CN"/>
              </w:rPr>
              <w:t>200</w:t>
            </w:r>
            <w:r>
              <w:rPr>
                <w:spacing w:val="-31"/>
              </w:rPr>
              <w:t xml:space="preserve"> </w:t>
            </w:r>
            <w:r>
              <w:rPr>
                <w:spacing w:val="9"/>
              </w:rPr>
              <w:t>个风口清洗保养</w:t>
            </w:r>
            <w:r>
              <w:rPr>
                <w:rFonts w:hint="eastAsia"/>
                <w:spacing w:val="9"/>
                <w:lang w:eastAsia="zh-CN"/>
              </w:rPr>
              <w:t>）</w:t>
            </w:r>
          </w:p>
        </w:tc>
        <w:tc>
          <w:tcPr>
            <w:tcW w:w="834" w:type="dxa"/>
            <w:vAlign w:val="top"/>
          </w:tcPr>
          <w:p w14:paraId="47EC3750">
            <w:pPr>
              <w:pStyle w:val="7"/>
              <w:spacing w:before="181" w:line="268" w:lineRule="exact"/>
              <w:ind w:left="282"/>
              <w:rPr>
                <w:rFonts w:hint="eastAsia" w:eastAsia="宋体"/>
                <w:lang w:eastAsia="zh-CN"/>
              </w:rPr>
            </w:pPr>
            <w:r>
              <w:rPr>
                <w:rFonts w:hint="eastAsia"/>
                <w:spacing w:val="-3"/>
                <w:position w:val="1"/>
                <w:lang w:val="en-US" w:eastAsia="zh-CN"/>
              </w:rPr>
              <w:t>5</w:t>
            </w:r>
          </w:p>
        </w:tc>
        <w:tc>
          <w:tcPr>
            <w:tcW w:w="839" w:type="dxa"/>
            <w:vAlign w:val="top"/>
          </w:tcPr>
          <w:p w14:paraId="43AF9B4A">
            <w:pPr>
              <w:pStyle w:val="7"/>
              <w:spacing w:before="162" w:line="230" w:lineRule="auto"/>
              <w:ind w:left="248"/>
            </w:pPr>
            <w:r>
              <w:t>台</w:t>
            </w:r>
          </w:p>
        </w:tc>
      </w:tr>
      <w:tr w14:paraId="4887C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12" w:type="dxa"/>
            <w:vAlign w:val="top"/>
          </w:tcPr>
          <w:p w14:paraId="6ED16CB8">
            <w:pPr>
              <w:pStyle w:val="7"/>
              <w:spacing w:before="181" w:line="270" w:lineRule="exact"/>
              <w:ind w:left="420"/>
            </w:pPr>
            <w:r>
              <w:rPr>
                <w:position w:val="1"/>
              </w:rPr>
              <w:t>2</w:t>
            </w:r>
          </w:p>
        </w:tc>
        <w:tc>
          <w:tcPr>
            <w:tcW w:w="5063" w:type="dxa"/>
            <w:vAlign w:val="top"/>
          </w:tcPr>
          <w:p w14:paraId="298D4A6E">
            <w:pPr>
              <w:pStyle w:val="7"/>
              <w:spacing w:before="157" w:line="227" w:lineRule="auto"/>
              <w:ind w:left="2311"/>
            </w:pPr>
            <w:r>
              <w:rPr>
                <w:spacing w:val="-3"/>
              </w:rPr>
              <w:t>挂机</w:t>
            </w:r>
          </w:p>
        </w:tc>
        <w:tc>
          <w:tcPr>
            <w:tcW w:w="834" w:type="dxa"/>
            <w:vAlign w:val="top"/>
          </w:tcPr>
          <w:p w14:paraId="2FD1E411">
            <w:pPr>
              <w:pStyle w:val="7"/>
              <w:spacing w:before="181" w:line="268" w:lineRule="exact"/>
              <w:ind w:left="335"/>
              <w:rPr>
                <w:rFonts w:hint="eastAsia" w:eastAsia="宋体"/>
                <w:lang w:val="en-US" w:eastAsia="zh-CN"/>
              </w:rPr>
            </w:pPr>
            <w:r>
              <w:rPr>
                <w:spacing w:val="-7"/>
                <w:position w:val="1"/>
              </w:rPr>
              <w:t>19</w:t>
            </w:r>
            <w:r>
              <w:rPr>
                <w:rFonts w:hint="eastAsia"/>
                <w:spacing w:val="-7"/>
                <w:position w:val="1"/>
                <w:lang w:val="en-US" w:eastAsia="zh-CN"/>
              </w:rPr>
              <w:t>0</w:t>
            </w:r>
          </w:p>
        </w:tc>
        <w:tc>
          <w:tcPr>
            <w:tcW w:w="839" w:type="dxa"/>
            <w:vAlign w:val="top"/>
          </w:tcPr>
          <w:p w14:paraId="3A20CEBA">
            <w:pPr>
              <w:pStyle w:val="7"/>
              <w:spacing w:before="162" w:line="230" w:lineRule="auto"/>
              <w:ind w:left="248"/>
            </w:pPr>
            <w:r>
              <w:t>台</w:t>
            </w:r>
          </w:p>
        </w:tc>
      </w:tr>
      <w:tr w14:paraId="777B7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112" w:type="dxa"/>
            <w:vAlign w:val="top"/>
          </w:tcPr>
          <w:p w14:paraId="3A5A998B">
            <w:pPr>
              <w:pStyle w:val="7"/>
              <w:spacing w:before="186" w:line="268" w:lineRule="exact"/>
              <w:ind w:left="419"/>
              <w:rPr>
                <w:rFonts w:hint="eastAsia" w:eastAsia="宋体"/>
                <w:lang w:eastAsia="zh-CN"/>
              </w:rPr>
            </w:pPr>
            <w:r>
              <w:rPr>
                <w:rFonts w:hint="eastAsia"/>
                <w:position w:val="1"/>
                <w:lang w:val="en-US" w:eastAsia="zh-CN"/>
              </w:rPr>
              <w:t>3</w:t>
            </w:r>
          </w:p>
        </w:tc>
        <w:tc>
          <w:tcPr>
            <w:tcW w:w="5063" w:type="dxa"/>
            <w:vAlign w:val="top"/>
          </w:tcPr>
          <w:p w14:paraId="22165867">
            <w:pPr>
              <w:pStyle w:val="7"/>
              <w:spacing w:before="164" w:line="227" w:lineRule="auto"/>
              <w:ind w:left="2309"/>
            </w:pPr>
            <w:r>
              <w:t>柜机</w:t>
            </w:r>
          </w:p>
        </w:tc>
        <w:tc>
          <w:tcPr>
            <w:tcW w:w="834" w:type="dxa"/>
            <w:vAlign w:val="top"/>
          </w:tcPr>
          <w:p w14:paraId="312D746C">
            <w:pPr>
              <w:pStyle w:val="7"/>
              <w:spacing w:before="186" w:line="268" w:lineRule="exact"/>
              <w:ind w:left="318"/>
              <w:rPr>
                <w:rFonts w:hint="eastAsia" w:eastAsia="宋体"/>
                <w:lang w:eastAsia="zh-CN"/>
              </w:rPr>
            </w:pPr>
            <w:r>
              <w:rPr>
                <w:rFonts w:hint="eastAsia"/>
                <w:spacing w:val="1"/>
                <w:position w:val="1"/>
                <w:lang w:val="en-US" w:eastAsia="zh-CN"/>
              </w:rPr>
              <w:t>4</w:t>
            </w:r>
          </w:p>
        </w:tc>
        <w:tc>
          <w:tcPr>
            <w:tcW w:w="839" w:type="dxa"/>
            <w:vAlign w:val="top"/>
          </w:tcPr>
          <w:p w14:paraId="6BF4752D">
            <w:pPr>
              <w:pStyle w:val="7"/>
              <w:spacing w:before="167" w:line="230" w:lineRule="auto"/>
              <w:ind w:left="248"/>
            </w:pPr>
            <w:r>
              <w:t>台</w:t>
            </w:r>
          </w:p>
        </w:tc>
      </w:tr>
      <w:tr w14:paraId="18BAC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1112" w:type="dxa"/>
            <w:vAlign w:val="top"/>
          </w:tcPr>
          <w:p w14:paraId="1761A667">
            <w:pPr>
              <w:pStyle w:val="7"/>
              <w:spacing w:before="189" w:line="268" w:lineRule="exact"/>
              <w:ind w:left="512"/>
              <w:rPr>
                <w:rFonts w:hint="eastAsia" w:eastAsia="宋体"/>
                <w:lang w:eastAsia="zh-CN"/>
              </w:rPr>
            </w:pPr>
            <w:r>
              <w:rPr>
                <w:rFonts w:hint="eastAsia"/>
                <w:position w:val="1"/>
                <w:lang w:val="en-US" w:eastAsia="zh-CN"/>
              </w:rPr>
              <w:t>4</w:t>
            </w:r>
          </w:p>
        </w:tc>
        <w:tc>
          <w:tcPr>
            <w:tcW w:w="5063" w:type="dxa"/>
            <w:vAlign w:val="top"/>
          </w:tcPr>
          <w:p w14:paraId="0B861097">
            <w:pPr>
              <w:pStyle w:val="7"/>
              <w:spacing w:before="167" w:line="227" w:lineRule="auto"/>
              <w:ind w:left="2213"/>
            </w:pPr>
            <w:r>
              <w:rPr>
                <w:spacing w:val="4"/>
              </w:rPr>
              <w:t>天花机</w:t>
            </w:r>
          </w:p>
        </w:tc>
        <w:tc>
          <w:tcPr>
            <w:tcW w:w="834" w:type="dxa"/>
            <w:vAlign w:val="top"/>
          </w:tcPr>
          <w:p w14:paraId="554F29D9">
            <w:pPr>
              <w:pStyle w:val="7"/>
              <w:spacing w:before="189" w:line="268" w:lineRule="exact"/>
              <w:ind w:left="323"/>
              <w:rPr>
                <w:rFonts w:hint="eastAsia" w:eastAsia="宋体"/>
                <w:lang w:eastAsia="zh-CN"/>
              </w:rPr>
            </w:pPr>
            <w:r>
              <w:rPr>
                <w:rFonts w:hint="eastAsia"/>
                <w:spacing w:val="-2"/>
                <w:position w:val="1"/>
                <w:lang w:val="en-US" w:eastAsia="zh-CN"/>
              </w:rPr>
              <w:t>8</w:t>
            </w:r>
          </w:p>
        </w:tc>
        <w:tc>
          <w:tcPr>
            <w:tcW w:w="839" w:type="dxa"/>
            <w:vAlign w:val="top"/>
          </w:tcPr>
          <w:p w14:paraId="06CDF893">
            <w:pPr>
              <w:pStyle w:val="7"/>
              <w:spacing w:before="170" w:line="230" w:lineRule="auto"/>
              <w:ind w:left="248"/>
            </w:pPr>
            <w:r>
              <w:t>台</w:t>
            </w:r>
          </w:p>
        </w:tc>
      </w:tr>
    </w:tbl>
    <w:p w14:paraId="64795DA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p>
    <w:p w14:paraId="10222F3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（2）具体技术要求</w:t>
      </w:r>
    </w:p>
    <w:p w14:paraId="322692A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1）成交人负责的共计约207台空调的日常清洗保养，其中挂机约190台，柜机约4台，天花机约8台，中央空调约5台，含风口200个。</w:t>
      </w:r>
    </w:p>
    <w:p w14:paraId="06BC90A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2）按实际需要，提供有关保养程序及指导工作；</w:t>
      </w:r>
    </w:p>
    <w:p w14:paraId="18B3D85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3）负责冷暖季节的调试、检测；</w:t>
      </w:r>
    </w:p>
    <w:p w14:paraId="5EABD8D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4）负责所有空调的清洗（包括内机、外机，蒸发器、滴水盘、冷凝排水管道、回风过滤网）；</w:t>
      </w:r>
    </w:p>
    <w:p w14:paraId="6EDB79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5）负责内外机温度传感器、压力传感器、变压器、保险、EEV 线圈易损部件的保养；</w:t>
      </w:r>
    </w:p>
    <w:p w14:paraId="0D067A2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6）负责检查冷媒系统的供、回压力是否正常值，检查冷媒是否泄漏并免费添加（如缺少），并进行冷媒管道的清理、整理；</w:t>
      </w:r>
    </w:p>
    <w:p w14:paraId="10C4A15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7）负责室外机裸露钢管保温棉保养；</w:t>
      </w:r>
    </w:p>
    <w:p w14:paraId="17ED67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8）检查压缩机的油压及油量；</w:t>
      </w:r>
    </w:p>
    <w:p w14:paraId="3BAB2DE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9）检查油过滤器，若有需要给予更换；</w:t>
      </w:r>
    </w:p>
    <w:p w14:paraId="2C06F9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10）检查排水系统是否通畅；</w:t>
      </w:r>
    </w:p>
    <w:p w14:paraId="06E4131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11）运转制冷机组，检查操作状况；</w:t>
      </w:r>
    </w:p>
    <w:p w14:paraId="0A24B74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12）检查压缩机运行温度；</w:t>
      </w:r>
    </w:p>
    <w:p w14:paraId="2FB5E60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13）检查冷媒状态，冷凝器及蒸发器的温度及压力；</w:t>
      </w:r>
    </w:p>
    <w:p w14:paraId="33FC18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14）检查开关的操作状况；</w:t>
      </w:r>
    </w:p>
    <w:p w14:paraId="4666988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15）检查及清理马达启动柜内的电器设备；</w:t>
      </w:r>
    </w:p>
    <w:p w14:paraId="450F74B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16）检查马达启动和运行时的电流，电压；</w:t>
      </w:r>
    </w:p>
    <w:p w14:paraId="48F26A1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17）校正机组技术参数及设定；</w:t>
      </w:r>
    </w:p>
    <w:p w14:paraId="49E904C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18）提交工作记录报告。</w:t>
      </w:r>
    </w:p>
    <w:p w14:paraId="487F0F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★（3）人员要求</w:t>
      </w:r>
    </w:p>
    <w:p w14:paraId="4D0808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所有参与本项目高空作业（指距地面 2 米及以上作业）的人员，均持有应急管理部门核发的有效《高处作业特种作业操作证》，并提供至少 2 名作业人员的证书复印件（加盖公章）及应急管理部官网查询截图；同时承诺项目实施期间，作业人员与申报人员一致，不临时聘用无证人员。</w:t>
      </w:r>
    </w:p>
    <w:p w14:paraId="45B1B5A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p>
    <w:p w14:paraId="599E559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1.服务期限：两年（合同一年一签，第一年为本次招标的中标服务期限，合同最多续签一次。如采购人对履约情况不满意，采购人不再续约），具体以合同签订之日起算，协议期内所有合同实质性条款不得改变。</w:t>
      </w:r>
    </w:p>
    <w:p w14:paraId="2DEDD4B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2.服务地点：深圳市福田区风湿病专科医院指定地点。</w:t>
      </w:r>
    </w:p>
    <w:p w14:paraId="4B95541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3.报价要求</w:t>
      </w:r>
    </w:p>
    <w:p w14:paraId="67948B5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投标总价必须是完成该项目的一切费用总和，包括投标费、设备费、工具费、运输费、装卸费、保险费、高空施工费、技术培训费、零部件费、清洗剂和消毒剂费用、国家规定的各项税费等，总报价不得超过 2.8 万元总预算。</w:t>
      </w:r>
    </w:p>
    <w:p w14:paraId="64D9935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4.质量考核验收标准及违约责任</w:t>
      </w:r>
    </w:p>
    <w:p w14:paraId="25401E2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（1）交付验收时间</w:t>
      </w:r>
    </w:p>
    <w:p w14:paraId="0C9DBBE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1）在接到采购人清洗保养需求通知后，必须指派技术人员 24 小时内到达服务现场，并保证 2 小时内现场完成清洗保养服务，节假日不例外。</w:t>
      </w:r>
    </w:p>
    <w:p w14:paraId="0713863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2）单次清洗保养服务无法立即完成的，应通知采购人代表，并在 12 小时内完成服务处置（以上时间均包括响应时间在内）。服务完成后必须由采购人相关人员确认。</w:t>
      </w:r>
    </w:p>
    <w:p w14:paraId="35B062B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（2）交付验收方式</w:t>
      </w:r>
    </w:p>
    <w:p w14:paraId="1D473AD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每次清洗保养服务完成后，必须由采购人相关人员确认。</w:t>
      </w:r>
    </w:p>
    <w:p w14:paraId="7CA2F9B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（3）交付验收程序</w:t>
      </w:r>
    </w:p>
    <w:p w14:paraId="57336D6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每次清洗保养服务完成后，必须由采购人相关人员确认，验收并不豁免成交人质量责任。</w:t>
      </w:r>
    </w:p>
    <w:p w14:paraId="1E4FB03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（4）交付验收内容</w:t>
      </w:r>
    </w:p>
    <w:p w14:paraId="3170C08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1）成交人在每次清洗保养服务完成后，需向采购人提供详细的《空调清洗保养书面报告》（含服务内容、操作记录、设备运行状态检测结果等），并经采购人验收代表签字认可。</w:t>
      </w:r>
    </w:p>
    <w:p w14:paraId="79CD4E9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2）本项目含空调清洗保养、维修。若设备配件因老化、损坏等需更换维修，成交人须先报告采购方，经采购人确认后安排维修。</w:t>
      </w:r>
    </w:p>
    <w:p w14:paraId="2A80324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（5）交付验收标准</w:t>
      </w:r>
    </w:p>
    <w:p w14:paraId="7084029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1）清洗后设备无灰尘、污垢、异味，滤网、蒸发器等部件清洁达标；</w:t>
      </w:r>
    </w:p>
    <w:p w14:paraId="4580BC8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2）运行正常（制冷/制热、排水、噪声均符合设备常规标准）；</w:t>
      </w:r>
    </w:p>
    <w:p w14:paraId="07C9D16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3）更换配件为原厂或需满足国家相关质量标准，提供合格证书；</w:t>
      </w:r>
    </w:p>
    <w:p w14:paraId="7A9E8C3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4）提交清洗保养报告，经采购人签字确认。</w:t>
      </w:r>
    </w:p>
    <w:p w14:paraId="6C28DC3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（6）交付验收其他事项</w:t>
      </w:r>
    </w:p>
    <w:p w14:paraId="37C026D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1）若成交人服务未达到合同约定标准，采购人提出书面异议后，成交人未在 3 个工作日内完成整改或整改后仍不达标，采购人有权按每次 200 元扣除相应费用，从结算款中直接抵扣。</w:t>
      </w:r>
    </w:p>
    <w:p w14:paraId="7F06A3E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2）验收时发现成交人未按合同约定范围完成服务（如漏洗、未执行约定保养流程），采购人有权要求中标方限期补做；补做仍不合格的，按其对应服务费用的 30%扣除。</w:t>
      </w:r>
    </w:p>
    <w:p w14:paraId="2AAAAC9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3）清洗保养后的设备，若在 7 个工作日内出现清洁效果失效（如滤网严重积尘）或非配件老化导致的运行异常，成交人需免费复检并整改。</w:t>
      </w:r>
    </w:p>
    <w:p w14:paraId="5F58736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4）成交人服务过程中须遵守采购人现场安全管理规定，若因操作不当造成采购人设备、设施损坏或环境污染，由成交人负责修复或赔偿。</w:t>
      </w:r>
    </w:p>
    <w:p w14:paraId="1D0CDF5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（7）违约责任</w:t>
      </w:r>
    </w:p>
    <w:p w14:paraId="588A1BE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采购人、成交人双方任意一方未按照本合同约定，擅自解除或停止履行本合同的，违约方应向守约方支付本合同总额的 30%作为违约金。</w:t>
      </w:r>
    </w:p>
    <w:p w14:paraId="04BA611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成交人未在合同期内完成工作的，采购人有权不支付成交人服务费且成交人须向采购人支付违约金。若成交人工作延误导致的采购人实际损失超过违约金标准的，成交人应赔偿采购人的实际损失。</w:t>
      </w:r>
    </w:p>
    <w:p w14:paraId="60133A6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5.付款方式</w:t>
      </w:r>
    </w:p>
    <w:p w14:paraId="5221D01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成交人向采购人申请付款时应同时提供等额有效的发票。采购人收到成交人等额有效发票之日起 10个工作日内向成交人支付款项。</w:t>
      </w:r>
    </w:p>
    <w:p w14:paraId="4B267C8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6.售后服务要求</w:t>
      </w:r>
    </w:p>
    <w:p w14:paraId="27C5F11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（1）清洗保养后提供 1 个月的质保期，在质保期内若出现因服务原因导致的空调运行问题或卫生不达标情况，成交人需在 24 小时内到场免费处理。</w:t>
      </w:r>
    </w:p>
    <w:p w14:paraId="58DDBAB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（2）建立售后服务热线，确保采购单位能及时联系到成交人，对采购单位提出的问题和需求给予及时回应和处理。</w:t>
      </w:r>
    </w:p>
    <w:p w14:paraId="7619A1F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（3）对保养过程中更换的零部件提供不少于 3 个月的保修期。</w:t>
      </w:r>
    </w:p>
    <w:p w14:paraId="630FC7A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7.其他要求</w:t>
      </w:r>
    </w:p>
    <w:p w14:paraId="7F32918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（1）服务过程中发生的一切安全及工伤事故由成交人自行承担。</w:t>
      </w:r>
    </w:p>
    <w:p w14:paraId="7956B8E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（2）成交人需为本项目配备固定的服务团队，团队成员不得随意更换，若确需更换需提前征得采购单位同意，且更换后的人员资质不得低于原人员资质。</w:t>
      </w:r>
    </w:p>
    <w:p w14:paraId="5CE5D89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（3）成交人需建立设备台账，对每台空调的型号、安装时间、历次服务记录等进行详细记录并定期更新。</w:t>
      </w:r>
    </w:p>
    <w:p w14:paraId="4664E79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28"/>
          <w:szCs w:val="28"/>
          <w:highlight w:val="none"/>
          <w:lang w:eastAsia="zh-CN"/>
        </w:rPr>
        <w:t>四</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供应商响应文件组成及格式</w:t>
      </w:r>
    </w:p>
    <w:p w14:paraId="6C85B9B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eastAsia="zh-CN"/>
        </w:rPr>
        <w:t>供应商应提供以下文件，并加盖公章：</w:t>
      </w:r>
    </w:p>
    <w:p w14:paraId="5247BB1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1.营业执照扫描件（或事业单位法人证书、</w:t>
      </w:r>
      <w:r>
        <w:rPr>
          <w:rFonts w:hint="eastAsia" w:ascii="仿宋_GB2312" w:eastAsia="仿宋_GB2312" w:cs="Times New Roman"/>
          <w:b w:val="0"/>
          <w:bCs/>
          <w:color w:val="auto"/>
          <w:kern w:val="2"/>
          <w:sz w:val="28"/>
          <w:szCs w:val="28"/>
          <w:highlight w:val="none"/>
          <w:lang w:val="en-US" w:eastAsia="zh-CN" w:bidi="ar-SA"/>
        </w:rPr>
        <w:t>其他</w:t>
      </w:r>
      <w:r>
        <w:rPr>
          <w:rFonts w:hint="eastAsia" w:ascii="仿宋_GB2312" w:hAnsi="Calibri" w:eastAsia="仿宋_GB2312" w:cs="Times New Roman"/>
          <w:b w:val="0"/>
          <w:bCs/>
          <w:color w:val="auto"/>
          <w:kern w:val="2"/>
          <w:sz w:val="28"/>
          <w:szCs w:val="28"/>
          <w:highlight w:val="none"/>
          <w:lang w:val="en-US" w:eastAsia="zh-CN" w:bidi="ar-SA"/>
        </w:rPr>
        <w:t>具有独立承担民事责任能力的登记证明资料扫描件）</w:t>
      </w:r>
    </w:p>
    <w:p w14:paraId="1CAF92B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2.法人证明及响应文件签署授权委托书</w:t>
      </w:r>
    </w:p>
    <w:p w14:paraId="24FC885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3.供应商基本情况表</w:t>
      </w:r>
    </w:p>
    <w:p w14:paraId="4D0E428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4.法定代表人、投标授权代表人、项目负责人（如有）最近一个月的社保缴纳证明，以及企业股权关系证明</w:t>
      </w:r>
    </w:p>
    <w:p w14:paraId="0572C15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5.承诺函</w:t>
      </w:r>
    </w:p>
    <w:p w14:paraId="1755065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6.项目详细报价</w:t>
      </w:r>
    </w:p>
    <w:p w14:paraId="435CB6B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7.服务要求响应表</w:t>
      </w:r>
    </w:p>
    <w:p w14:paraId="6AE35E5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8.项目实施方案</w:t>
      </w:r>
    </w:p>
    <w:p w14:paraId="09316847">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9.</w:t>
      </w:r>
      <w:r>
        <w:rPr>
          <w:rFonts w:hint="eastAsia" w:ascii="仿宋_GB2312" w:hAnsi="Calibri" w:eastAsia="仿宋_GB2312" w:cs="Times New Roman"/>
          <w:b w:val="0"/>
          <w:bCs/>
          <w:color w:val="auto"/>
          <w:sz w:val="28"/>
          <w:szCs w:val="28"/>
          <w:highlight w:val="none"/>
          <w:lang w:eastAsia="zh-CN"/>
        </w:rPr>
        <w:t>项目重点难点分析、应对措施及相关的合理化建议</w:t>
      </w:r>
    </w:p>
    <w:p w14:paraId="2B07871F">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10.</w:t>
      </w:r>
      <w:r>
        <w:rPr>
          <w:rFonts w:hint="eastAsia" w:ascii="仿宋_GB2312" w:hAnsi="Calibri" w:eastAsia="仿宋_GB2312" w:cs="Times New Roman"/>
          <w:b w:val="0"/>
          <w:bCs/>
          <w:color w:val="auto"/>
          <w:sz w:val="28"/>
          <w:szCs w:val="28"/>
          <w:highlight w:val="none"/>
          <w:lang w:eastAsia="zh-CN"/>
        </w:rPr>
        <w:t>质量保障措施及方案</w:t>
      </w:r>
    </w:p>
    <w:p w14:paraId="3A5DC72E">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11.</w:t>
      </w:r>
      <w:r>
        <w:rPr>
          <w:rFonts w:hint="eastAsia" w:ascii="仿宋_GB2312" w:hAnsi="Calibri" w:eastAsia="仿宋_GB2312" w:cs="Times New Roman"/>
          <w:b w:val="0"/>
          <w:bCs/>
          <w:color w:val="auto"/>
          <w:sz w:val="28"/>
          <w:szCs w:val="28"/>
          <w:highlight w:val="none"/>
          <w:lang w:eastAsia="zh-CN"/>
        </w:rPr>
        <w:t>项目完成（服务期满）后的服务承诺</w:t>
      </w:r>
    </w:p>
    <w:p w14:paraId="504A97B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12.有效业绩</w:t>
      </w:r>
    </w:p>
    <w:p w14:paraId="6703C1F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13.履约评价</w:t>
      </w:r>
    </w:p>
    <w:p w14:paraId="12575E1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14.认证情况</w:t>
      </w:r>
    </w:p>
    <w:p w14:paraId="3F993A2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15.拟安排的项目服务团队成员情况</w:t>
      </w:r>
    </w:p>
    <w:p w14:paraId="008B9FA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16.中小企业声明函、残疾人福利性单位声明函或监狱企业声明函</w:t>
      </w:r>
    </w:p>
    <w:p w14:paraId="00A8BF34">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2" w:firstLineChars="200"/>
        <w:textAlignment w:val="auto"/>
        <w:rPr>
          <w:rFonts w:hint="eastAsia" w:ascii="仿宋_GB2312" w:hAnsi="Calibri" w:eastAsia="仿宋_GB2312" w:cs="Times New Roman"/>
          <w:b/>
          <w:bCs w:val="0"/>
          <w:color w:val="auto"/>
          <w:sz w:val="28"/>
          <w:szCs w:val="28"/>
          <w:highlight w:val="none"/>
          <w:lang w:eastAsia="zh-CN"/>
        </w:rPr>
      </w:pPr>
      <w:r>
        <w:rPr>
          <w:rFonts w:hint="eastAsia" w:ascii="仿宋_GB2312" w:hAnsi="Calibri" w:eastAsia="仿宋_GB2312" w:cs="Times New Roman"/>
          <w:b/>
          <w:bCs w:val="0"/>
          <w:color w:val="auto"/>
          <w:sz w:val="28"/>
          <w:szCs w:val="28"/>
          <w:highlight w:val="none"/>
          <w:lang w:eastAsia="zh-CN"/>
        </w:rPr>
        <w:t>……</w:t>
      </w:r>
    </w:p>
    <w:p w14:paraId="37D99038">
      <w:pPr>
        <w:pStyle w:val="3"/>
        <w:spacing w:before="199" w:line="224" w:lineRule="auto"/>
        <w:ind w:left="3540"/>
        <w:rPr>
          <w:b/>
          <w:bCs/>
          <w:spacing w:val="5"/>
        </w:rPr>
      </w:pPr>
    </w:p>
    <w:p w14:paraId="2CCA304E">
      <w:pPr>
        <w:pStyle w:val="3"/>
        <w:spacing w:before="199" w:line="224" w:lineRule="auto"/>
        <w:ind w:left="3540"/>
        <w:rPr>
          <w:b/>
          <w:bCs/>
          <w:spacing w:val="5"/>
        </w:rPr>
      </w:pPr>
    </w:p>
    <w:p w14:paraId="1F6EC408">
      <w:pPr>
        <w:pStyle w:val="3"/>
        <w:spacing w:before="199" w:line="224" w:lineRule="auto"/>
        <w:ind w:left="3540"/>
        <w:rPr>
          <w:b/>
          <w:bCs/>
          <w:spacing w:val="5"/>
        </w:rPr>
      </w:pPr>
    </w:p>
    <w:p w14:paraId="5222D634">
      <w:pPr>
        <w:pStyle w:val="3"/>
        <w:spacing w:before="199" w:line="224" w:lineRule="auto"/>
        <w:ind w:left="3540"/>
        <w:rPr>
          <w:b/>
          <w:bCs/>
          <w:spacing w:val="5"/>
        </w:rPr>
      </w:pPr>
    </w:p>
    <w:p w14:paraId="73F9BA54">
      <w:pPr>
        <w:pStyle w:val="3"/>
        <w:spacing w:before="199" w:line="224" w:lineRule="auto"/>
        <w:ind w:left="3540"/>
        <w:rPr>
          <w:b/>
          <w:bCs/>
          <w:spacing w:val="5"/>
        </w:rPr>
      </w:pPr>
    </w:p>
    <w:p w14:paraId="1A272B0C">
      <w:pPr>
        <w:pStyle w:val="3"/>
        <w:spacing w:before="199" w:line="224" w:lineRule="auto"/>
        <w:ind w:left="3540"/>
        <w:rPr>
          <w:b/>
          <w:bCs/>
          <w:spacing w:val="5"/>
        </w:rPr>
      </w:pPr>
    </w:p>
    <w:p w14:paraId="1FB7C501">
      <w:pPr>
        <w:pStyle w:val="3"/>
        <w:spacing w:before="199" w:line="224" w:lineRule="auto"/>
        <w:jc w:val="center"/>
      </w:pPr>
      <w:r>
        <w:rPr>
          <w:b/>
          <w:bCs/>
          <w:spacing w:val="5"/>
        </w:rPr>
        <w:t>评审办法</w:t>
      </w:r>
    </w:p>
    <w:p w14:paraId="442529DD">
      <w:pPr>
        <w:pStyle w:val="3"/>
        <w:spacing w:before="225" w:line="228" w:lineRule="auto"/>
        <w:ind w:left="424"/>
        <w:rPr>
          <w:sz w:val="20"/>
          <w:szCs w:val="20"/>
        </w:rPr>
      </w:pPr>
      <w:r>
        <w:rPr>
          <w:b/>
          <w:bCs/>
          <w:spacing w:val="6"/>
          <w:sz w:val="20"/>
          <w:szCs w:val="20"/>
        </w:rPr>
        <w:t>一、评审与定评</w:t>
      </w:r>
    </w:p>
    <w:p w14:paraId="49E93893">
      <w:pPr>
        <w:pStyle w:val="3"/>
        <w:spacing w:before="121" w:line="377" w:lineRule="auto"/>
        <w:ind w:left="1" w:right="81" w:firstLine="434"/>
        <w:rPr>
          <w:sz w:val="20"/>
          <w:szCs w:val="20"/>
        </w:rPr>
      </w:pPr>
      <w:r>
        <w:rPr>
          <w:rFonts w:hint="eastAsia"/>
          <w:spacing w:val="9"/>
          <w:sz w:val="20"/>
          <w:szCs w:val="20"/>
          <w:lang w:eastAsia="zh-CN"/>
        </w:rPr>
        <w:t>1.</w:t>
      </w:r>
      <w:r>
        <w:rPr>
          <w:spacing w:val="9"/>
          <w:sz w:val="20"/>
          <w:szCs w:val="20"/>
        </w:rPr>
        <w:t>当通过资格、符合性审查的参评人不少于三家时，按照评审程序的规定和依据评分标准、计算方法，各评委单独封闭对每个参评人进行评审和比较。</w:t>
      </w:r>
    </w:p>
    <w:p w14:paraId="3203F903">
      <w:pPr>
        <w:pStyle w:val="3"/>
        <w:spacing w:line="226" w:lineRule="auto"/>
        <w:ind w:left="423"/>
        <w:rPr>
          <w:sz w:val="20"/>
          <w:szCs w:val="20"/>
        </w:rPr>
      </w:pPr>
      <w:r>
        <w:rPr>
          <w:rFonts w:hint="eastAsia"/>
          <w:spacing w:val="9"/>
          <w:sz w:val="20"/>
          <w:szCs w:val="20"/>
          <w:lang w:eastAsia="zh-CN"/>
        </w:rPr>
        <w:t>2.</w:t>
      </w:r>
      <w:r>
        <w:rPr>
          <w:spacing w:val="9"/>
          <w:sz w:val="20"/>
          <w:szCs w:val="20"/>
        </w:rPr>
        <w:t>成交人资格的确定，由评审小组推荐，并由采购人确认。</w:t>
      </w:r>
    </w:p>
    <w:p w14:paraId="6B38E582">
      <w:pPr>
        <w:pStyle w:val="3"/>
        <w:spacing w:before="163" w:line="363" w:lineRule="auto"/>
        <w:ind w:right="81" w:firstLine="425"/>
        <w:rPr>
          <w:sz w:val="20"/>
          <w:szCs w:val="20"/>
        </w:rPr>
      </w:pPr>
      <w:r>
        <w:rPr>
          <w:rFonts w:hint="eastAsia"/>
          <w:spacing w:val="9"/>
          <w:sz w:val="20"/>
          <w:szCs w:val="20"/>
          <w:lang w:eastAsia="zh-CN"/>
        </w:rPr>
        <w:t>3.</w:t>
      </w:r>
      <w:r>
        <w:rPr>
          <w:spacing w:val="-57"/>
          <w:sz w:val="20"/>
          <w:szCs w:val="20"/>
        </w:rPr>
        <w:t xml:space="preserve"> </w:t>
      </w:r>
      <w:r>
        <w:rPr>
          <w:spacing w:val="9"/>
          <w:sz w:val="20"/>
          <w:szCs w:val="20"/>
        </w:rPr>
        <w:t>比较与评价。评审小组按遴选文件中规定的评审方法和</w:t>
      </w:r>
      <w:r>
        <w:rPr>
          <w:spacing w:val="8"/>
          <w:sz w:val="20"/>
          <w:szCs w:val="20"/>
        </w:rPr>
        <w:t>标准，对资格审查和符合性审查合格的参</w:t>
      </w:r>
      <w:r>
        <w:rPr>
          <w:spacing w:val="10"/>
          <w:sz w:val="20"/>
          <w:szCs w:val="20"/>
        </w:rPr>
        <w:t>评文件进行商务和技术评估，综合比较与评价。资格及符合</w:t>
      </w:r>
      <w:r>
        <w:rPr>
          <w:spacing w:val="9"/>
          <w:sz w:val="20"/>
          <w:szCs w:val="20"/>
        </w:rPr>
        <w:t>性、价格、技术、商务部分分值分配如下：</w:t>
      </w:r>
    </w:p>
    <w:tbl>
      <w:tblPr>
        <w:tblStyle w:val="8"/>
        <w:tblW w:w="6536" w:type="dxa"/>
        <w:tblInd w:w="15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2"/>
        <w:gridCol w:w="1261"/>
        <w:gridCol w:w="1299"/>
        <w:gridCol w:w="1236"/>
        <w:gridCol w:w="1478"/>
      </w:tblGrid>
      <w:tr w14:paraId="64D0A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62" w:type="dxa"/>
            <w:shd w:val="clear" w:color="auto" w:fill="EAEAEA"/>
            <w:vAlign w:val="top"/>
          </w:tcPr>
          <w:p w14:paraId="6F95A5C8">
            <w:pPr>
              <w:pStyle w:val="7"/>
              <w:spacing w:before="134" w:line="228" w:lineRule="auto"/>
              <w:ind w:left="214"/>
            </w:pPr>
            <w:r>
              <w:rPr>
                <w:b/>
                <w:bCs/>
                <w:spacing w:val="6"/>
              </w:rPr>
              <w:t>评分项目</w:t>
            </w:r>
          </w:p>
        </w:tc>
        <w:tc>
          <w:tcPr>
            <w:tcW w:w="1261" w:type="dxa"/>
            <w:shd w:val="clear" w:color="auto" w:fill="EAEAEA"/>
            <w:vAlign w:val="top"/>
          </w:tcPr>
          <w:p w14:paraId="721E054F">
            <w:pPr>
              <w:pStyle w:val="7"/>
              <w:spacing w:before="133" w:line="228" w:lineRule="auto"/>
              <w:ind w:left="214"/>
            </w:pPr>
            <w:r>
              <w:rPr>
                <w:b/>
                <w:bCs/>
                <w:spacing w:val="6"/>
              </w:rPr>
              <w:t>技术评分</w:t>
            </w:r>
          </w:p>
        </w:tc>
        <w:tc>
          <w:tcPr>
            <w:tcW w:w="1299" w:type="dxa"/>
            <w:shd w:val="clear" w:color="auto" w:fill="EAEAEA"/>
            <w:vAlign w:val="top"/>
          </w:tcPr>
          <w:p w14:paraId="2CAF72B5">
            <w:pPr>
              <w:pStyle w:val="7"/>
              <w:spacing w:before="133" w:line="228" w:lineRule="auto"/>
              <w:ind w:left="182"/>
            </w:pPr>
            <w:r>
              <w:rPr>
                <w:b/>
                <w:bCs/>
                <w:spacing w:val="5"/>
              </w:rPr>
              <w:t>商务评分</w:t>
            </w:r>
          </w:p>
        </w:tc>
        <w:tc>
          <w:tcPr>
            <w:tcW w:w="1236" w:type="dxa"/>
            <w:shd w:val="clear" w:color="auto" w:fill="EAEAEA"/>
            <w:vAlign w:val="top"/>
          </w:tcPr>
          <w:p w14:paraId="5AC020A9">
            <w:pPr>
              <w:pStyle w:val="7"/>
              <w:spacing w:before="134" w:line="226" w:lineRule="auto"/>
              <w:ind w:left="150"/>
            </w:pPr>
            <w:r>
              <w:rPr>
                <w:b/>
                <w:bCs/>
                <w:spacing w:val="6"/>
              </w:rPr>
              <w:t>价格评分</w:t>
            </w:r>
          </w:p>
        </w:tc>
        <w:tc>
          <w:tcPr>
            <w:tcW w:w="1478" w:type="dxa"/>
            <w:shd w:val="clear" w:color="auto" w:fill="EAEAEA"/>
            <w:vAlign w:val="top"/>
          </w:tcPr>
          <w:p w14:paraId="1A1CD8E2">
            <w:pPr>
              <w:pStyle w:val="7"/>
              <w:spacing w:before="133" w:line="229" w:lineRule="auto"/>
              <w:ind w:left="428"/>
            </w:pPr>
            <w:r>
              <w:rPr>
                <w:b/>
                <w:bCs/>
                <w:spacing w:val="-2"/>
              </w:rPr>
              <w:t>合</w:t>
            </w:r>
            <w:r>
              <w:rPr>
                <w:spacing w:val="13"/>
              </w:rPr>
              <w:t xml:space="preserve"> </w:t>
            </w:r>
            <w:r>
              <w:rPr>
                <w:b/>
                <w:bCs/>
                <w:spacing w:val="-2"/>
              </w:rPr>
              <w:t>计</w:t>
            </w:r>
          </w:p>
        </w:tc>
      </w:tr>
      <w:tr w14:paraId="34C2E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62" w:type="dxa"/>
            <w:vAlign w:val="top"/>
          </w:tcPr>
          <w:p w14:paraId="4A124D83">
            <w:pPr>
              <w:pStyle w:val="7"/>
              <w:spacing w:before="131" w:line="228" w:lineRule="auto"/>
              <w:ind w:left="429"/>
            </w:pPr>
            <w:r>
              <w:rPr>
                <w:spacing w:val="3"/>
              </w:rPr>
              <w:t>分值</w:t>
            </w:r>
          </w:p>
        </w:tc>
        <w:tc>
          <w:tcPr>
            <w:tcW w:w="1261" w:type="dxa"/>
            <w:vAlign w:val="top"/>
          </w:tcPr>
          <w:p w14:paraId="5E0977EF">
            <w:pPr>
              <w:pStyle w:val="7"/>
              <w:spacing w:before="131" w:line="228" w:lineRule="auto"/>
              <w:ind w:left="423"/>
            </w:pPr>
            <w:r>
              <w:rPr>
                <w:spacing w:val="4"/>
              </w:rPr>
              <w:t>45分</w:t>
            </w:r>
          </w:p>
        </w:tc>
        <w:tc>
          <w:tcPr>
            <w:tcW w:w="1299" w:type="dxa"/>
            <w:vAlign w:val="top"/>
          </w:tcPr>
          <w:p w14:paraId="321187A9">
            <w:pPr>
              <w:pStyle w:val="7"/>
              <w:spacing w:before="131" w:line="228" w:lineRule="auto"/>
              <w:ind w:left="389"/>
            </w:pPr>
            <w:r>
              <w:rPr>
                <w:spacing w:val="4"/>
              </w:rPr>
              <w:t>45分</w:t>
            </w:r>
          </w:p>
        </w:tc>
        <w:tc>
          <w:tcPr>
            <w:tcW w:w="1236" w:type="dxa"/>
            <w:vAlign w:val="top"/>
          </w:tcPr>
          <w:p w14:paraId="399B91E8">
            <w:pPr>
              <w:pStyle w:val="7"/>
              <w:spacing w:before="131" w:line="228" w:lineRule="auto"/>
              <w:ind w:left="376"/>
            </w:pPr>
            <w:r>
              <w:rPr>
                <w:spacing w:val="-2"/>
              </w:rPr>
              <w:t>10分</w:t>
            </w:r>
          </w:p>
        </w:tc>
        <w:tc>
          <w:tcPr>
            <w:tcW w:w="1478" w:type="dxa"/>
            <w:vAlign w:val="top"/>
          </w:tcPr>
          <w:p w14:paraId="651819FB">
            <w:pPr>
              <w:pStyle w:val="7"/>
              <w:spacing w:before="131" w:line="228" w:lineRule="auto"/>
              <w:ind w:left="443"/>
            </w:pPr>
            <w:r>
              <w:rPr>
                <w:spacing w:val="-1"/>
              </w:rPr>
              <w:t>100分</w:t>
            </w:r>
          </w:p>
        </w:tc>
      </w:tr>
    </w:tbl>
    <w:p w14:paraId="44121DC8">
      <w:pPr>
        <w:pStyle w:val="3"/>
        <w:spacing w:before="29" w:line="228" w:lineRule="auto"/>
        <w:ind w:left="420"/>
        <w:rPr>
          <w:sz w:val="20"/>
          <w:szCs w:val="20"/>
        </w:rPr>
      </w:pPr>
      <w:r>
        <w:rPr>
          <w:rFonts w:hint="eastAsia"/>
          <w:spacing w:val="7"/>
          <w:sz w:val="20"/>
          <w:szCs w:val="20"/>
          <w:lang w:eastAsia="zh-CN"/>
        </w:rPr>
        <w:t>4.</w:t>
      </w:r>
      <w:r>
        <w:rPr>
          <w:spacing w:val="7"/>
          <w:sz w:val="20"/>
          <w:szCs w:val="20"/>
        </w:rPr>
        <w:t>技术评分</w:t>
      </w:r>
    </w:p>
    <w:p w14:paraId="61E3C6FC">
      <w:pPr>
        <w:pStyle w:val="3"/>
        <w:spacing w:before="164" w:line="228" w:lineRule="auto"/>
        <w:ind w:left="430"/>
        <w:rPr>
          <w:sz w:val="20"/>
          <w:szCs w:val="20"/>
        </w:rPr>
      </w:pPr>
      <w:r>
        <w:rPr>
          <w:spacing w:val="7"/>
          <w:sz w:val="20"/>
          <w:szCs w:val="20"/>
        </w:rPr>
        <w:t>（1）</w:t>
      </w:r>
      <w:r>
        <w:rPr>
          <w:spacing w:val="-42"/>
          <w:sz w:val="20"/>
          <w:szCs w:val="20"/>
        </w:rPr>
        <w:t xml:space="preserve"> </w:t>
      </w:r>
      <w:r>
        <w:rPr>
          <w:spacing w:val="7"/>
          <w:sz w:val="20"/>
          <w:szCs w:val="20"/>
        </w:rPr>
        <w:t>由评审小组对所有参评文件的技术部分的响应进行审核和分析；</w:t>
      </w:r>
    </w:p>
    <w:p w14:paraId="677EF385">
      <w:pPr>
        <w:pStyle w:val="3"/>
        <w:spacing w:before="161" w:line="228" w:lineRule="auto"/>
        <w:ind w:left="430"/>
        <w:rPr>
          <w:sz w:val="20"/>
          <w:szCs w:val="20"/>
        </w:rPr>
      </w:pPr>
      <w:r>
        <w:rPr>
          <w:spacing w:val="8"/>
          <w:sz w:val="20"/>
          <w:szCs w:val="20"/>
        </w:rPr>
        <w:t>（2）评委独立进行评分，填写“技术评分表</w:t>
      </w:r>
      <w:r>
        <w:rPr>
          <w:spacing w:val="-64"/>
          <w:sz w:val="20"/>
          <w:szCs w:val="20"/>
        </w:rPr>
        <w:t xml:space="preserve"> </w:t>
      </w:r>
      <w:r>
        <w:rPr>
          <w:spacing w:val="8"/>
          <w:sz w:val="20"/>
          <w:szCs w:val="20"/>
        </w:rPr>
        <w:t>”；</w:t>
      </w:r>
    </w:p>
    <w:p w14:paraId="585D58CB">
      <w:pPr>
        <w:pStyle w:val="3"/>
        <w:spacing w:before="161" w:line="228" w:lineRule="auto"/>
        <w:ind w:left="430"/>
        <w:rPr>
          <w:sz w:val="20"/>
          <w:szCs w:val="20"/>
        </w:rPr>
      </w:pPr>
      <w:r>
        <w:rPr>
          <w:spacing w:val="7"/>
          <w:sz w:val="20"/>
          <w:szCs w:val="20"/>
        </w:rPr>
        <w:t>（3）评分标准：按“技术评分表</w:t>
      </w:r>
      <w:r>
        <w:rPr>
          <w:spacing w:val="-60"/>
          <w:sz w:val="20"/>
          <w:szCs w:val="20"/>
        </w:rPr>
        <w:t xml:space="preserve"> </w:t>
      </w:r>
      <w:r>
        <w:rPr>
          <w:spacing w:val="7"/>
          <w:sz w:val="20"/>
          <w:szCs w:val="20"/>
        </w:rPr>
        <w:t>”中的分值进行评分；</w:t>
      </w:r>
    </w:p>
    <w:p w14:paraId="073BF11F">
      <w:pPr>
        <w:pStyle w:val="3"/>
        <w:spacing w:before="161" w:line="227" w:lineRule="auto"/>
        <w:ind w:left="430"/>
        <w:rPr>
          <w:sz w:val="20"/>
          <w:szCs w:val="20"/>
        </w:rPr>
      </w:pPr>
      <w:r>
        <w:rPr>
          <w:spacing w:val="9"/>
          <w:sz w:val="20"/>
          <w:szCs w:val="20"/>
        </w:rPr>
        <w:t>（4）将每一个评委的评分汇集，取算术平均值（精确到小数点后两位）为该参评人的技术得分。</w:t>
      </w:r>
    </w:p>
    <w:p w14:paraId="41D9A641">
      <w:pPr>
        <w:pStyle w:val="3"/>
        <w:spacing w:before="164" w:line="228" w:lineRule="auto"/>
        <w:ind w:left="425"/>
        <w:rPr>
          <w:sz w:val="20"/>
          <w:szCs w:val="20"/>
        </w:rPr>
      </w:pPr>
      <w:r>
        <w:rPr>
          <w:rFonts w:hint="eastAsia"/>
          <w:spacing w:val="7"/>
          <w:sz w:val="20"/>
          <w:szCs w:val="20"/>
          <w:lang w:eastAsia="zh-CN"/>
        </w:rPr>
        <w:t>5.</w:t>
      </w:r>
      <w:r>
        <w:rPr>
          <w:spacing w:val="7"/>
          <w:sz w:val="20"/>
          <w:szCs w:val="20"/>
        </w:rPr>
        <w:t>商务评分</w:t>
      </w:r>
    </w:p>
    <w:p w14:paraId="73835075">
      <w:pPr>
        <w:pStyle w:val="3"/>
        <w:spacing w:before="161" w:line="228" w:lineRule="auto"/>
        <w:ind w:left="430"/>
        <w:rPr>
          <w:sz w:val="20"/>
          <w:szCs w:val="20"/>
        </w:rPr>
      </w:pPr>
      <w:r>
        <w:rPr>
          <w:spacing w:val="7"/>
          <w:sz w:val="20"/>
          <w:szCs w:val="20"/>
        </w:rPr>
        <w:t>（1）</w:t>
      </w:r>
      <w:r>
        <w:rPr>
          <w:spacing w:val="-42"/>
          <w:sz w:val="20"/>
          <w:szCs w:val="20"/>
        </w:rPr>
        <w:t xml:space="preserve"> </w:t>
      </w:r>
      <w:r>
        <w:rPr>
          <w:spacing w:val="7"/>
          <w:sz w:val="20"/>
          <w:szCs w:val="20"/>
        </w:rPr>
        <w:t>由评审小组对所有参评文件的商务部分的响应进行审核和分析；</w:t>
      </w:r>
    </w:p>
    <w:p w14:paraId="4A21436A">
      <w:pPr>
        <w:pStyle w:val="3"/>
        <w:spacing w:before="161" w:line="228" w:lineRule="auto"/>
        <w:ind w:left="430"/>
        <w:rPr>
          <w:sz w:val="20"/>
          <w:szCs w:val="20"/>
        </w:rPr>
      </w:pPr>
      <w:r>
        <w:rPr>
          <w:spacing w:val="8"/>
          <w:sz w:val="20"/>
          <w:szCs w:val="20"/>
        </w:rPr>
        <w:t>（2）评委独立进行评分，填写“商务评分表</w:t>
      </w:r>
      <w:r>
        <w:rPr>
          <w:spacing w:val="-64"/>
          <w:sz w:val="20"/>
          <w:szCs w:val="20"/>
        </w:rPr>
        <w:t xml:space="preserve"> </w:t>
      </w:r>
      <w:r>
        <w:rPr>
          <w:spacing w:val="8"/>
          <w:sz w:val="20"/>
          <w:szCs w:val="20"/>
        </w:rPr>
        <w:t>”；</w:t>
      </w:r>
    </w:p>
    <w:p w14:paraId="4C5957D6">
      <w:pPr>
        <w:pStyle w:val="3"/>
        <w:spacing w:before="161" w:line="228" w:lineRule="auto"/>
        <w:ind w:left="430"/>
        <w:rPr>
          <w:sz w:val="20"/>
          <w:szCs w:val="20"/>
        </w:rPr>
      </w:pPr>
      <w:r>
        <w:rPr>
          <w:spacing w:val="7"/>
          <w:sz w:val="20"/>
          <w:szCs w:val="20"/>
        </w:rPr>
        <w:t>（3）评分标准：按“商务评分表</w:t>
      </w:r>
      <w:r>
        <w:rPr>
          <w:spacing w:val="-60"/>
          <w:sz w:val="20"/>
          <w:szCs w:val="20"/>
        </w:rPr>
        <w:t xml:space="preserve"> </w:t>
      </w:r>
      <w:r>
        <w:rPr>
          <w:spacing w:val="7"/>
          <w:sz w:val="20"/>
          <w:szCs w:val="20"/>
        </w:rPr>
        <w:t>”中的分值进行评分；</w:t>
      </w:r>
    </w:p>
    <w:p w14:paraId="5E2D49EC">
      <w:pPr>
        <w:pStyle w:val="3"/>
        <w:spacing w:before="162" w:line="227" w:lineRule="auto"/>
        <w:ind w:left="430"/>
        <w:rPr>
          <w:sz w:val="20"/>
          <w:szCs w:val="20"/>
        </w:rPr>
      </w:pPr>
      <w:r>
        <w:rPr>
          <w:spacing w:val="9"/>
          <w:sz w:val="20"/>
          <w:szCs w:val="20"/>
        </w:rPr>
        <w:t>（4）将每一个评委的评分汇集，取算术平均值（精确到小数点后两位）为该参评人的商务得分。</w:t>
      </w:r>
    </w:p>
    <w:p w14:paraId="541AB47C">
      <w:pPr>
        <w:pStyle w:val="3"/>
        <w:spacing w:before="162" w:line="226" w:lineRule="auto"/>
        <w:ind w:left="422"/>
        <w:rPr>
          <w:sz w:val="20"/>
          <w:szCs w:val="20"/>
        </w:rPr>
      </w:pPr>
      <w:r>
        <w:rPr>
          <w:rFonts w:hint="eastAsia"/>
          <w:spacing w:val="7"/>
          <w:sz w:val="20"/>
          <w:szCs w:val="20"/>
          <w:lang w:eastAsia="zh-CN"/>
        </w:rPr>
        <w:t>6.</w:t>
      </w:r>
      <w:r>
        <w:rPr>
          <w:spacing w:val="7"/>
          <w:sz w:val="20"/>
          <w:szCs w:val="20"/>
        </w:rPr>
        <w:t>价格评分</w:t>
      </w:r>
    </w:p>
    <w:p w14:paraId="2A53FDCA">
      <w:pPr>
        <w:pStyle w:val="3"/>
        <w:spacing w:before="165" w:line="226" w:lineRule="auto"/>
        <w:ind w:left="430"/>
        <w:rPr>
          <w:sz w:val="20"/>
          <w:szCs w:val="20"/>
        </w:rPr>
      </w:pPr>
      <w:r>
        <w:rPr>
          <w:spacing w:val="7"/>
          <w:sz w:val="20"/>
          <w:szCs w:val="20"/>
        </w:rPr>
        <w:t>（1）</w:t>
      </w:r>
      <w:r>
        <w:rPr>
          <w:spacing w:val="-42"/>
          <w:sz w:val="20"/>
          <w:szCs w:val="20"/>
        </w:rPr>
        <w:t xml:space="preserve"> </w:t>
      </w:r>
      <w:r>
        <w:rPr>
          <w:spacing w:val="7"/>
          <w:sz w:val="20"/>
          <w:szCs w:val="20"/>
        </w:rPr>
        <w:t>由评审小组对所有参评文件的价格部分的响应进行审核和分析。</w:t>
      </w:r>
    </w:p>
    <w:p w14:paraId="5DFBD281">
      <w:pPr>
        <w:pStyle w:val="3"/>
        <w:spacing w:before="164" w:line="226" w:lineRule="auto"/>
        <w:ind w:left="430"/>
        <w:rPr>
          <w:sz w:val="20"/>
          <w:szCs w:val="20"/>
        </w:rPr>
      </w:pPr>
      <w:r>
        <w:rPr>
          <w:spacing w:val="8"/>
          <w:sz w:val="20"/>
          <w:szCs w:val="20"/>
        </w:rPr>
        <w:t>（2）基准价格分：</w:t>
      </w:r>
      <w:r>
        <w:rPr>
          <w:spacing w:val="-53"/>
          <w:sz w:val="20"/>
          <w:szCs w:val="20"/>
        </w:rPr>
        <w:t xml:space="preserve"> </w:t>
      </w:r>
      <w:r>
        <w:rPr>
          <w:spacing w:val="8"/>
          <w:sz w:val="20"/>
          <w:szCs w:val="20"/>
        </w:rPr>
        <w:t>以有效参评人中报价最低的参评报价为基准价，定其基准价格分为满分。</w:t>
      </w:r>
    </w:p>
    <w:p w14:paraId="6DFA31B9">
      <w:pPr>
        <w:pStyle w:val="3"/>
        <w:spacing w:before="163" w:line="377" w:lineRule="auto"/>
        <w:ind w:left="2" w:firstLine="428"/>
        <w:rPr>
          <w:sz w:val="20"/>
          <w:szCs w:val="20"/>
        </w:rPr>
      </w:pPr>
      <w:r>
        <w:rPr>
          <w:spacing w:val="9"/>
          <w:sz w:val="20"/>
          <w:szCs w:val="20"/>
        </w:rPr>
        <w:t>（3）参评人的价格得分=评审基准价÷参评报价×价格分值（精确到小数点后两</w:t>
      </w:r>
      <w:r>
        <w:rPr>
          <w:spacing w:val="8"/>
          <w:sz w:val="20"/>
          <w:szCs w:val="20"/>
        </w:rPr>
        <w:t>位）。由此算出每个参评人的“价格得分</w:t>
      </w:r>
      <w:r>
        <w:rPr>
          <w:spacing w:val="-70"/>
          <w:sz w:val="20"/>
          <w:szCs w:val="20"/>
        </w:rPr>
        <w:t xml:space="preserve"> </w:t>
      </w:r>
      <w:r>
        <w:rPr>
          <w:spacing w:val="8"/>
          <w:sz w:val="20"/>
          <w:szCs w:val="20"/>
        </w:rPr>
        <w:t>”。</w:t>
      </w:r>
    </w:p>
    <w:p w14:paraId="2BCC237D">
      <w:pPr>
        <w:pStyle w:val="3"/>
        <w:spacing w:before="1" w:line="226" w:lineRule="auto"/>
        <w:ind w:left="430"/>
        <w:rPr>
          <w:sz w:val="20"/>
          <w:szCs w:val="20"/>
        </w:rPr>
      </w:pPr>
      <w:r>
        <w:rPr>
          <w:spacing w:val="9"/>
          <w:sz w:val="20"/>
          <w:szCs w:val="20"/>
        </w:rPr>
        <w:t>（4）评委检查每个参评人的价格评分计算情况，确认“价格得</w:t>
      </w:r>
      <w:r>
        <w:rPr>
          <w:spacing w:val="8"/>
          <w:sz w:val="20"/>
          <w:szCs w:val="20"/>
        </w:rPr>
        <w:t>分</w:t>
      </w:r>
      <w:r>
        <w:rPr>
          <w:spacing w:val="-70"/>
          <w:sz w:val="20"/>
          <w:szCs w:val="20"/>
        </w:rPr>
        <w:t xml:space="preserve"> </w:t>
      </w:r>
      <w:r>
        <w:rPr>
          <w:spacing w:val="8"/>
          <w:sz w:val="20"/>
          <w:szCs w:val="20"/>
        </w:rPr>
        <w:t>”。</w:t>
      </w:r>
    </w:p>
    <w:p w14:paraId="56A92B96">
      <w:pPr>
        <w:pStyle w:val="3"/>
        <w:spacing w:before="164" w:line="226" w:lineRule="auto"/>
        <w:ind w:left="425"/>
        <w:rPr>
          <w:sz w:val="20"/>
          <w:szCs w:val="20"/>
        </w:rPr>
      </w:pPr>
      <w:r>
        <w:rPr>
          <w:spacing w:val="6"/>
          <w:sz w:val="20"/>
          <w:szCs w:val="20"/>
        </w:rPr>
        <w:t>7.价格错误的修正：</w:t>
      </w:r>
    </w:p>
    <w:p w14:paraId="46688EDE">
      <w:pPr>
        <w:pStyle w:val="3"/>
        <w:spacing w:before="162" w:line="377" w:lineRule="auto"/>
        <w:ind w:left="422" w:right="81" w:firstLine="8"/>
        <w:rPr>
          <w:sz w:val="20"/>
          <w:szCs w:val="20"/>
        </w:rPr>
      </w:pPr>
      <w:r>
        <w:rPr>
          <w:spacing w:val="10"/>
          <w:sz w:val="20"/>
          <w:szCs w:val="20"/>
        </w:rPr>
        <w:t>（1）评审小组将审查参评文件是否完整、</w:t>
      </w:r>
      <w:r>
        <w:rPr>
          <w:spacing w:val="9"/>
          <w:sz w:val="20"/>
          <w:szCs w:val="20"/>
        </w:rPr>
        <w:t>总体编排是否有序、文件签署是否合格、参评人有无计算</w:t>
      </w:r>
      <w:r>
        <w:rPr>
          <w:spacing w:val="6"/>
          <w:sz w:val="20"/>
          <w:szCs w:val="20"/>
        </w:rPr>
        <w:t>上的错误等。</w:t>
      </w:r>
    </w:p>
    <w:p w14:paraId="6CB4E9BE">
      <w:pPr>
        <w:pStyle w:val="3"/>
        <w:spacing w:line="227" w:lineRule="auto"/>
        <w:ind w:left="430"/>
        <w:rPr>
          <w:sz w:val="20"/>
          <w:szCs w:val="20"/>
        </w:rPr>
      </w:pPr>
      <w:r>
        <w:rPr>
          <w:spacing w:val="9"/>
          <w:sz w:val="20"/>
          <w:szCs w:val="20"/>
        </w:rPr>
        <w:t>（2）算术错误将按以下方法更正（次序排先者优先</w:t>
      </w:r>
      <w:r>
        <w:rPr>
          <w:sz w:val="20"/>
          <w:szCs w:val="20"/>
        </w:rPr>
        <w:t>）：</w:t>
      </w:r>
    </w:p>
    <w:p w14:paraId="53C3DBA0">
      <w:pPr>
        <w:pStyle w:val="3"/>
        <w:spacing w:before="161" w:line="378" w:lineRule="auto"/>
        <w:ind w:left="422" w:right="81" w:firstLine="8"/>
        <w:rPr>
          <w:sz w:val="20"/>
          <w:szCs w:val="20"/>
        </w:rPr>
      </w:pPr>
      <w:r>
        <w:rPr>
          <w:spacing w:val="8"/>
          <w:sz w:val="20"/>
          <w:szCs w:val="20"/>
        </w:rPr>
        <w:t>（2.1）单独密封提交的开标一览表（报价表）与参评文件中的开标一览表（报价表）不一致的，</w:t>
      </w:r>
      <w:r>
        <w:rPr>
          <w:spacing w:val="-45"/>
          <w:sz w:val="20"/>
          <w:szCs w:val="20"/>
        </w:rPr>
        <w:t xml:space="preserve"> </w:t>
      </w:r>
      <w:r>
        <w:rPr>
          <w:spacing w:val="8"/>
          <w:sz w:val="20"/>
          <w:szCs w:val="20"/>
        </w:rPr>
        <w:t>以单独密封提交的开标一览表（报价表）为准；</w:t>
      </w:r>
    </w:p>
    <w:p w14:paraId="6EE4F315">
      <w:pPr>
        <w:pStyle w:val="3"/>
        <w:spacing w:before="1" w:line="376" w:lineRule="auto"/>
        <w:ind w:left="1" w:right="81" w:firstLine="429"/>
        <w:rPr>
          <w:sz w:val="20"/>
          <w:szCs w:val="20"/>
        </w:rPr>
      </w:pPr>
      <w:r>
        <w:rPr>
          <w:spacing w:val="8"/>
          <w:sz w:val="20"/>
          <w:szCs w:val="20"/>
        </w:rPr>
        <w:t>（2.2）参评文件中开标一览表（报价表）</w:t>
      </w:r>
      <w:r>
        <w:rPr>
          <w:spacing w:val="-45"/>
          <w:sz w:val="20"/>
          <w:szCs w:val="20"/>
        </w:rPr>
        <w:t xml:space="preserve"> </w:t>
      </w:r>
      <w:r>
        <w:rPr>
          <w:spacing w:val="8"/>
          <w:sz w:val="20"/>
          <w:szCs w:val="20"/>
        </w:rPr>
        <w:t>内容与参评文件中相应内容不一致的，以开标一览表（报</w:t>
      </w:r>
      <w:r>
        <w:rPr>
          <w:spacing w:val="6"/>
          <w:sz w:val="20"/>
          <w:szCs w:val="20"/>
        </w:rPr>
        <w:t>价表）为准；</w:t>
      </w:r>
    </w:p>
    <w:p w14:paraId="4B7BB394">
      <w:pPr>
        <w:pStyle w:val="3"/>
        <w:spacing w:before="1" w:line="227" w:lineRule="auto"/>
        <w:ind w:left="430"/>
        <w:rPr>
          <w:sz w:val="20"/>
          <w:szCs w:val="20"/>
        </w:rPr>
      </w:pPr>
      <w:r>
        <w:rPr>
          <w:spacing w:val="8"/>
          <w:sz w:val="20"/>
          <w:szCs w:val="20"/>
        </w:rPr>
        <w:t>（2.3）大写金额和小写金额不一致的，以大写金额为准；</w:t>
      </w:r>
    </w:p>
    <w:p w14:paraId="6C365FFF">
      <w:pPr>
        <w:spacing w:line="227" w:lineRule="auto"/>
        <w:rPr>
          <w:sz w:val="20"/>
          <w:szCs w:val="20"/>
        </w:rPr>
        <w:sectPr>
          <w:headerReference r:id="rId3" w:type="default"/>
          <w:footerReference r:id="rId4" w:type="default"/>
          <w:pgSz w:w="11906" w:h="16839"/>
          <w:pgMar w:top="1087" w:right="1137" w:bottom="1065" w:left="1140" w:header="810" w:footer="903" w:gutter="0"/>
          <w:cols w:space="720" w:num="1"/>
        </w:sectPr>
      </w:pPr>
    </w:p>
    <w:p w14:paraId="0E17D443">
      <w:pPr>
        <w:pStyle w:val="3"/>
        <w:spacing w:before="78" w:line="226" w:lineRule="auto"/>
        <w:ind w:left="429"/>
        <w:rPr>
          <w:sz w:val="20"/>
          <w:szCs w:val="20"/>
        </w:rPr>
      </w:pPr>
      <w:r>
        <w:rPr>
          <w:spacing w:val="8"/>
          <w:sz w:val="20"/>
          <w:szCs w:val="20"/>
        </w:rPr>
        <w:t>（2.4）单价金额小数点或者百分比有明显错位的，</w:t>
      </w:r>
      <w:r>
        <w:rPr>
          <w:spacing w:val="-59"/>
          <w:sz w:val="20"/>
          <w:szCs w:val="20"/>
        </w:rPr>
        <w:t xml:space="preserve"> </w:t>
      </w:r>
      <w:r>
        <w:rPr>
          <w:spacing w:val="8"/>
          <w:sz w:val="20"/>
          <w:szCs w:val="20"/>
        </w:rPr>
        <w:t>以开标一览表的总价为准，并修改单</w:t>
      </w:r>
      <w:r>
        <w:rPr>
          <w:spacing w:val="7"/>
          <w:sz w:val="20"/>
          <w:szCs w:val="20"/>
        </w:rPr>
        <w:t>价；</w:t>
      </w:r>
    </w:p>
    <w:p w14:paraId="4CC34924">
      <w:pPr>
        <w:pStyle w:val="3"/>
        <w:spacing w:before="163" w:line="226" w:lineRule="auto"/>
        <w:ind w:left="429"/>
        <w:rPr>
          <w:sz w:val="20"/>
          <w:szCs w:val="20"/>
        </w:rPr>
      </w:pPr>
      <w:r>
        <w:rPr>
          <w:spacing w:val="7"/>
          <w:sz w:val="20"/>
          <w:szCs w:val="20"/>
        </w:rPr>
        <w:t>（2.5）总价金额与按单价汇总金额不一致的，</w:t>
      </w:r>
      <w:r>
        <w:rPr>
          <w:spacing w:val="-43"/>
          <w:sz w:val="20"/>
          <w:szCs w:val="20"/>
        </w:rPr>
        <w:t xml:space="preserve"> </w:t>
      </w:r>
      <w:r>
        <w:rPr>
          <w:spacing w:val="7"/>
          <w:sz w:val="20"/>
          <w:szCs w:val="20"/>
        </w:rPr>
        <w:t>以单价金额计算结果为准；</w:t>
      </w:r>
    </w:p>
    <w:p w14:paraId="643EE937">
      <w:pPr>
        <w:pStyle w:val="3"/>
        <w:spacing w:before="162" w:line="227" w:lineRule="auto"/>
        <w:ind w:left="429"/>
        <w:rPr>
          <w:sz w:val="20"/>
          <w:szCs w:val="20"/>
        </w:rPr>
      </w:pPr>
      <w:r>
        <w:rPr>
          <w:spacing w:val="9"/>
          <w:sz w:val="20"/>
          <w:szCs w:val="20"/>
        </w:rPr>
        <w:t>（2.6）对不同文字文本参评文件的解释</w:t>
      </w:r>
      <w:r>
        <w:rPr>
          <w:spacing w:val="8"/>
          <w:sz w:val="20"/>
          <w:szCs w:val="20"/>
        </w:rPr>
        <w:t>发生异议的，以中文文本为准。</w:t>
      </w:r>
    </w:p>
    <w:p w14:paraId="7885BCDC">
      <w:pPr>
        <w:pStyle w:val="3"/>
        <w:spacing w:before="163" w:line="379" w:lineRule="auto"/>
        <w:ind w:right="84" w:firstLine="429"/>
        <w:rPr>
          <w:sz w:val="20"/>
          <w:szCs w:val="20"/>
        </w:rPr>
      </w:pPr>
      <w:r>
        <w:rPr>
          <w:spacing w:val="10"/>
          <w:sz w:val="20"/>
          <w:szCs w:val="20"/>
        </w:rPr>
        <w:t>（3）上述修正错误的原则及方法调整或修</w:t>
      </w:r>
      <w:r>
        <w:rPr>
          <w:spacing w:val="9"/>
          <w:sz w:val="20"/>
          <w:szCs w:val="20"/>
        </w:rPr>
        <w:t>正参评文件的投标报价</w:t>
      </w:r>
      <w:r>
        <w:rPr>
          <w:rFonts w:hint="eastAsia"/>
          <w:spacing w:val="9"/>
          <w:sz w:val="20"/>
          <w:szCs w:val="20"/>
          <w:lang w:eastAsia="zh-CN"/>
        </w:rPr>
        <w:t>，经</w:t>
      </w:r>
      <w:r>
        <w:rPr>
          <w:spacing w:val="9"/>
          <w:sz w:val="20"/>
          <w:szCs w:val="20"/>
        </w:rPr>
        <w:t>参评人同意后，调整后的投标报价对参评人起约束作用。如果参评人不接受修正后的报价，则其投标将被拒绝。</w:t>
      </w:r>
    </w:p>
    <w:p w14:paraId="196770F5">
      <w:pPr>
        <w:pStyle w:val="3"/>
        <w:spacing w:before="94" w:line="228" w:lineRule="auto"/>
        <w:ind w:left="422"/>
        <w:rPr>
          <w:sz w:val="20"/>
          <w:szCs w:val="20"/>
        </w:rPr>
      </w:pPr>
      <w:r>
        <w:rPr>
          <w:b/>
          <w:bCs/>
          <w:spacing w:val="7"/>
          <w:sz w:val="20"/>
          <w:szCs w:val="20"/>
        </w:rPr>
        <w:t>二、综合得分的计算</w:t>
      </w:r>
    </w:p>
    <w:p w14:paraId="499D61C3">
      <w:pPr>
        <w:pStyle w:val="3"/>
        <w:spacing w:before="220" w:line="387" w:lineRule="auto"/>
        <w:ind w:right="13" w:firstLine="420"/>
        <w:rPr>
          <w:sz w:val="20"/>
          <w:szCs w:val="20"/>
        </w:rPr>
      </w:pPr>
      <w:r>
        <w:rPr>
          <w:spacing w:val="9"/>
          <w:sz w:val="20"/>
          <w:szCs w:val="20"/>
        </w:rPr>
        <w:t>本项目的评审方法采用综合评分法，综合评分法评审步骤：先进行资格、符合性审查，再进行价格、技术及商务的详细评审。只有通过资格、符合性审查的参评人才能进入详细的评审。</w:t>
      </w:r>
    </w:p>
    <w:p w14:paraId="45C4735C">
      <w:pPr>
        <w:pStyle w:val="3"/>
        <w:spacing w:before="3" w:line="377" w:lineRule="auto"/>
        <w:ind w:left="1" w:firstLine="420"/>
        <w:jc w:val="both"/>
        <w:rPr>
          <w:sz w:val="20"/>
          <w:szCs w:val="20"/>
        </w:rPr>
      </w:pPr>
      <w:r>
        <w:rPr>
          <w:spacing w:val="11"/>
          <w:sz w:val="20"/>
          <w:szCs w:val="20"/>
        </w:rPr>
        <w:t>综合得分（精确到小数点后两位）=价格得分+技术得分+商务得分。综合得分相同的，名次按技术评</w:t>
      </w:r>
      <w:r>
        <w:rPr>
          <w:spacing w:val="9"/>
          <w:sz w:val="20"/>
          <w:szCs w:val="20"/>
        </w:rPr>
        <w:t>分由高到低顺序排列；综合得分相同且技术评分相同的，名次按商务评分由高到低顺序排列；综合得分相同、技术评分和商务评分均相同的，名次由评审价由低到高顺序排列。综合得分相同、技术评分、商务评分和评审价均相同的评审小组抽签确定。法律法规有明确规定的，以法律法规规定为准。</w:t>
      </w:r>
    </w:p>
    <w:p w14:paraId="5E1EF3E7">
      <w:pPr>
        <w:pStyle w:val="3"/>
        <w:spacing w:before="94" w:line="228" w:lineRule="auto"/>
        <w:ind w:left="419"/>
        <w:rPr>
          <w:sz w:val="20"/>
          <w:szCs w:val="20"/>
        </w:rPr>
      </w:pPr>
      <w:r>
        <w:rPr>
          <w:b/>
          <w:bCs/>
          <w:spacing w:val="7"/>
          <w:sz w:val="20"/>
          <w:szCs w:val="20"/>
        </w:rPr>
        <w:t>三、确定成交人</w:t>
      </w:r>
    </w:p>
    <w:p w14:paraId="498AD615">
      <w:pPr>
        <w:pStyle w:val="3"/>
        <w:spacing w:before="124" w:line="227" w:lineRule="auto"/>
        <w:ind w:left="418"/>
        <w:rPr>
          <w:sz w:val="20"/>
          <w:szCs w:val="20"/>
        </w:rPr>
      </w:pPr>
      <w:r>
        <w:rPr>
          <w:spacing w:val="9"/>
          <w:sz w:val="20"/>
          <w:szCs w:val="20"/>
        </w:rPr>
        <w:t>采购人将根据评审结果，确定成交人，同时向成交人发出书面《成交通知书》。</w:t>
      </w:r>
    </w:p>
    <w:p w14:paraId="6BAA44BE">
      <w:pPr>
        <w:pStyle w:val="3"/>
        <w:spacing w:before="162" w:line="227" w:lineRule="auto"/>
        <w:ind w:left="419"/>
        <w:outlineLvl w:val="2"/>
        <w:rPr>
          <w:sz w:val="20"/>
          <w:szCs w:val="20"/>
        </w:rPr>
      </w:pPr>
      <w:r>
        <w:rPr>
          <w:b/>
          <w:bCs/>
          <w:spacing w:val="8"/>
          <w:sz w:val="20"/>
          <w:szCs w:val="20"/>
        </w:rPr>
        <w:t>注：本评审办法入围参评人指所有通过资格、符合性审查的参评人。</w:t>
      </w:r>
    </w:p>
    <w:p w14:paraId="2BB7CF50">
      <w:pPr>
        <w:spacing w:line="227" w:lineRule="auto"/>
        <w:rPr>
          <w:sz w:val="20"/>
          <w:szCs w:val="20"/>
        </w:rPr>
        <w:sectPr>
          <w:headerReference r:id="rId5" w:type="default"/>
          <w:footerReference r:id="rId6" w:type="default"/>
          <w:pgSz w:w="11906" w:h="16839"/>
          <w:pgMar w:top="1087" w:right="1134" w:bottom="1065" w:left="1141" w:header="810" w:footer="902" w:gutter="0"/>
          <w:cols w:space="720" w:num="1"/>
        </w:sectPr>
      </w:pPr>
    </w:p>
    <w:p w14:paraId="54E7A0BC">
      <w:pPr>
        <w:pStyle w:val="3"/>
        <w:spacing w:before="126" w:line="220" w:lineRule="auto"/>
        <w:ind w:left="3785"/>
        <w:rPr>
          <w:sz w:val="28"/>
          <w:szCs w:val="28"/>
        </w:rPr>
      </w:pPr>
      <w:r>
        <w:rPr>
          <w:b/>
          <w:bCs/>
          <w:spacing w:val="-5"/>
          <w:sz w:val="28"/>
          <w:szCs w:val="28"/>
        </w:rPr>
        <w:t>资格、符合性审查表</w:t>
      </w:r>
    </w:p>
    <w:p w14:paraId="3B6A2B44">
      <w:pPr>
        <w:pStyle w:val="3"/>
        <w:spacing w:before="114" w:line="227" w:lineRule="auto"/>
        <w:ind w:left="219"/>
        <w:rPr>
          <w:sz w:val="20"/>
          <w:szCs w:val="20"/>
        </w:rPr>
      </w:pPr>
      <w:r>
        <w:rPr>
          <w:spacing w:val="9"/>
          <w:sz w:val="20"/>
          <w:szCs w:val="20"/>
        </w:rPr>
        <w:t>项目名称：</w:t>
      </w:r>
      <w:r>
        <w:rPr>
          <w:spacing w:val="8"/>
          <w:sz w:val="20"/>
          <w:szCs w:val="20"/>
        </w:rPr>
        <w:t>空调清洗保养服务采购项目</w:t>
      </w:r>
    </w:p>
    <w:p w14:paraId="154364F4">
      <w:pPr>
        <w:spacing w:line="93" w:lineRule="exact"/>
      </w:pPr>
    </w:p>
    <w:tbl>
      <w:tblPr>
        <w:tblStyle w:val="8"/>
        <w:tblW w:w="9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7948"/>
      </w:tblGrid>
      <w:tr w14:paraId="290D1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9678" w:type="dxa"/>
            <w:gridSpan w:val="2"/>
            <w:tcBorders>
              <w:top w:val="single" w:color="000000" w:sz="2" w:space="0"/>
              <w:left w:val="single" w:color="000000" w:sz="2" w:space="0"/>
              <w:right w:val="single" w:color="000000" w:sz="2" w:space="0"/>
            </w:tcBorders>
            <w:shd w:val="clear" w:color="auto" w:fill="EAEAEA"/>
            <w:vAlign w:val="top"/>
          </w:tcPr>
          <w:p w14:paraId="5A4B6CBB">
            <w:pPr>
              <w:pStyle w:val="7"/>
              <w:spacing w:before="211" w:line="228" w:lineRule="auto"/>
              <w:ind w:left="4422"/>
            </w:pPr>
            <w:r>
              <w:rPr>
                <w:b/>
                <w:bCs/>
                <w:spacing w:val="6"/>
              </w:rPr>
              <w:t>评审内容</w:t>
            </w:r>
          </w:p>
        </w:tc>
      </w:tr>
      <w:tr w14:paraId="49CAD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7" w:hRule="atLeast"/>
        </w:trPr>
        <w:tc>
          <w:tcPr>
            <w:tcW w:w="1730" w:type="dxa"/>
            <w:vMerge w:val="restart"/>
            <w:tcBorders>
              <w:left w:val="single" w:color="000000" w:sz="2" w:space="0"/>
              <w:bottom w:val="nil"/>
            </w:tcBorders>
            <w:vAlign w:val="top"/>
          </w:tcPr>
          <w:p w14:paraId="0529061C">
            <w:pPr>
              <w:spacing w:line="247" w:lineRule="auto"/>
              <w:rPr>
                <w:rFonts w:ascii="Arial"/>
                <w:sz w:val="21"/>
              </w:rPr>
            </w:pPr>
          </w:p>
          <w:p w14:paraId="5B406800">
            <w:pPr>
              <w:spacing w:line="247" w:lineRule="auto"/>
              <w:rPr>
                <w:rFonts w:ascii="Arial"/>
                <w:sz w:val="21"/>
              </w:rPr>
            </w:pPr>
          </w:p>
          <w:p w14:paraId="48F9963A">
            <w:pPr>
              <w:spacing w:line="247" w:lineRule="auto"/>
              <w:rPr>
                <w:rFonts w:ascii="Arial"/>
                <w:sz w:val="21"/>
              </w:rPr>
            </w:pPr>
          </w:p>
          <w:p w14:paraId="492A9A00">
            <w:pPr>
              <w:spacing w:line="247" w:lineRule="auto"/>
              <w:rPr>
                <w:rFonts w:ascii="Arial"/>
                <w:sz w:val="21"/>
              </w:rPr>
            </w:pPr>
          </w:p>
          <w:p w14:paraId="4280E2E6">
            <w:pPr>
              <w:spacing w:line="247" w:lineRule="auto"/>
              <w:rPr>
                <w:rFonts w:ascii="Arial"/>
                <w:sz w:val="21"/>
              </w:rPr>
            </w:pPr>
          </w:p>
          <w:p w14:paraId="3536E362">
            <w:pPr>
              <w:spacing w:line="247" w:lineRule="auto"/>
              <w:rPr>
                <w:rFonts w:ascii="Arial"/>
                <w:sz w:val="21"/>
              </w:rPr>
            </w:pPr>
          </w:p>
          <w:p w14:paraId="19715AF7">
            <w:pPr>
              <w:spacing w:line="247" w:lineRule="auto"/>
              <w:rPr>
                <w:rFonts w:ascii="Arial"/>
                <w:sz w:val="21"/>
              </w:rPr>
            </w:pPr>
          </w:p>
          <w:p w14:paraId="124E294D">
            <w:pPr>
              <w:spacing w:line="247" w:lineRule="auto"/>
              <w:rPr>
                <w:rFonts w:ascii="Arial"/>
                <w:sz w:val="21"/>
              </w:rPr>
            </w:pPr>
          </w:p>
          <w:p w14:paraId="7D0D7215">
            <w:pPr>
              <w:spacing w:line="247" w:lineRule="auto"/>
              <w:rPr>
                <w:rFonts w:ascii="Arial"/>
                <w:sz w:val="21"/>
              </w:rPr>
            </w:pPr>
          </w:p>
          <w:p w14:paraId="2DC7D949">
            <w:pPr>
              <w:spacing w:line="247" w:lineRule="auto"/>
              <w:rPr>
                <w:rFonts w:ascii="Arial"/>
                <w:sz w:val="21"/>
              </w:rPr>
            </w:pPr>
          </w:p>
          <w:p w14:paraId="61F6D957">
            <w:pPr>
              <w:spacing w:line="247" w:lineRule="auto"/>
              <w:rPr>
                <w:rFonts w:ascii="Arial"/>
                <w:sz w:val="21"/>
              </w:rPr>
            </w:pPr>
          </w:p>
          <w:p w14:paraId="03342B35">
            <w:pPr>
              <w:spacing w:line="247" w:lineRule="auto"/>
              <w:rPr>
                <w:rFonts w:ascii="Arial"/>
                <w:sz w:val="21"/>
              </w:rPr>
            </w:pPr>
          </w:p>
          <w:p w14:paraId="7903711E">
            <w:pPr>
              <w:spacing w:line="247" w:lineRule="auto"/>
              <w:rPr>
                <w:rFonts w:ascii="Arial"/>
                <w:sz w:val="21"/>
              </w:rPr>
            </w:pPr>
          </w:p>
          <w:p w14:paraId="1DE2B03F">
            <w:pPr>
              <w:spacing w:line="247" w:lineRule="auto"/>
              <w:rPr>
                <w:rFonts w:ascii="Arial"/>
                <w:sz w:val="21"/>
              </w:rPr>
            </w:pPr>
          </w:p>
          <w:p w14:paraId="231AC1C2">
            <w:pPr>
              <w:spacing w:line="248" w:lineRule="auto"/>
              <w:rPr>
                <w:rFonts w:ascii="Arial"/>
                <w:sz w:val="21"/>
              </w:rPr>
            </w:pPr>
          </w:p>
          <w:p w14:paraId="2C001343">
            <w:pPr>
              <w:spacing w:line="248" w:lineRule="auto"/>
              <w:rPr>
                <w:rFonts w:ascii="Arial"/>
                <w:sz w:val="21"/>
              </w:rPr>
            </w:pPr>
          </w:p>
          <w:p w14:paraId="3A75D335">
            <w:pPr>
              <w:spacing w:line="248" w:lineRule="auto"/>
              <w:rPr>
                <w:rFonts w:ascii="Arial"/>
                <w:sz w:val="21"/>
              </w:rPr>
            </w:pPr>
          </w:p>
          <w:p w14:paraId="063D9C2D">
            <w:pPr>
              <w:spacing w:line="248" w:lineRule="auto"/>
              <w:rPr>
                <w:rFonts w:ascii="Arial"/>
                <w:sz w:val="21"/>
              </w:rPr>
            </w:pPr>
          </w:p>
          <w:p w14:paraId="6D8F9FF3">
            <w:pPr>
              <w:spacing w:line="248" w:lineRule="auto"/>
              <w:rPr>
                <w:rFonts w:ascii="Arial"/>
                <w:sz w:val="21"/>
              </w:rPr>
            </w:pPr>
          </w:p>
          <w:p w14:paraId="08A1DB07">
            <w:pPr>
              <w:spacing w:line="248" w:lineRule="auto"/>
              <w:rPr>
                <w:rFonts w:ascii="Arial"/>
                <w:sz w:val="21"/>
              </w:rPr>
            </w:pPr>
          </w:p>
          <w:p w14:paraId="1CD568D5">
            <w:pPr>
              <w:spacing w:line="248" w:lineRule="auto"/>
              <w:rPr>
                <w:rFonts w:ascii="Arial"/>
                <w:sz w:val="21"/>
              </w:rPr>
            </w:pPr>
          </w:p>
          <w:p w14:paraId="3B860E9A">
            <w:pPr>
              <w:spacing w:line="248" w:lineRule="auto"/>
              <w:rPr>
                <w:rFonts w:ascii="Arial"/>
                <w:sz w:val="21"/>
              </w:rPr>
            </w:pPr>
          </w:p>
          <w:p w14:paraId="1766479D">
            <w:pPr>
              <w:pStyle w:val="7"/>
              <w:spacing w:before="65" w:line="434" w:lineRule="auto"/>
              <w:ind w:left="660" w:right="338" w:hanging="308"/>
            </w:pPr>
            <w:r>
              <w:rPr>
                <w:spacing w:val="6"/>
              </w:rPr>
              <w:t>资格性审查</w:t>
            </w:r>
            <w:r>
              <w:rPr>
                <w:spacing w:val="4"/>
              </w:rPr>
              <w:t>要求</w:t>
            </w:r>
          </w:p>
        </w:tc>
        <w:tc>
          <w:tcPr>
            <w:tcW w:w="7948" w:type="dxa"/>
            <w:tcBorders>
              <w:right w:val="single" w:color="000000" w:sz="2" w:space="0"/>
            </w:tcBorders>
            <w:vAlign w:val="top"/>
          </w:tcPr>
          <w:p w14:paraId="551CCD7C">
            <w:pPr>
              <w:pStyle w:val="7"/>
              <w:spacing w:before="131" w:line="416" w:lineRule="auto"/>
              <w:ind w:left="111" w:right="36" w:firstLine="14"/>
              <w:jc w:val="both"/>
            </w:pPr>
            <w:r>
              <w:rPr>
                <w:spacing w:val="8"/>
              </w:rPr>
              <w:t>1.参评人必须是具有独立法人资格</w:t>
            </w:r>
            <w:r>
              <w:rPr>
                <w:rFonts w:hint="eastAsia"/>
                <w:spacing w:val="8"/>
                <w:lang w:eastAsia="zh-CN"/>
              </w:rPr>
              <w:t>或</w:t>
            </w:r>
            <w:r>
              <w:rPr>
                <w:spacing w:val="8"/>
              </w:rPr>
              <w:t>具有独立承担民事责任能力的</w:t>
            </w:r>
            <w:r>
              <w:rPr>
                <w:rFonts w:hint="eastAsia"/>
                <w:spacing w:val="8"/>
                <w:lang w:eastAsia="zh-CN"/>
              </w:rPr>
              <w:t>其他组织</w:t>
            </w:r>
            <w:r>
              <w:rPr>
                <w:spacing w:val="8"/>
              </w:rPr>
              <w:t>（提供</w:t>
            </w:r>
            <w:r>
              <w:rPr>
                <w:spacing w:val="9"/>
              </w:rPr>
              <w:t>营业执照或事业单位法人证书或其他证明材料扫描件，如果</w:t>
            </w:r>
            <w:r>
              <w:rPr>
                <w:spacing w:val="8"/>
              </w:rPr>
              <w:t>参与参评的供应商为分公</w:t>
            </w:r>
            <w:r>
              <w:rPr>
                <w:spacing w:val="9"/>
              </w:rPr>
              <w:t>司则须提供分公司营业执照、其所属集团（或总公司）等具</w:t>
            </w:r>
            <w:r>
              <w:rPr>
                <w:spacing w:val="8"/>
              </w:rPr>
              <w:t>有独立法人资格的组织出</w:t>
            </w:r>
            <w:r>
              <w:rPr>
                <w:spacing w:val="10"/>
              </w:rPr>
              <w:t>具愿为其参与本项目参评以及履约行为承担民事责任的授权书，但只接受直接授权，</w:t>
            </w:r>
            <w:r>
              <w:rPr>
                <w:spacing w:val="9"/>
              </w:rPr>
              <w:t>不接受逐级授权，并同时提供总公司营业执照。不接受同一</w:t>
            </w:r>
            <w:r>
              <w:rPr>
                <w:spacing w:val="8"/>
              </w:rPr>
              <w:t>集团（或总公司）授权两</w:t>
            </w:r>
            <w:r>
              <w:rPr>
                <w:spacing w:val="9"/>
              </w:rPr>
              <w:t>家或以上分公司同时参与本项目参评，也不接受集团（</w:t>
            </w:r>
            <w:r>
              <w:rPr>
                <w:spacing w:val="8"/>
              </w:rPr>
              <w:t>或总公司）与分公司同时参与本项目参评，如出现上述情形，该两家或以上供应商的参</w:t>
            </w:r>
            <w:r>
              <w:rPr>
                <w:spacing w:val="7"/>
              </w:rPr>
              <w:t>评文件均按无效参评处理</w:t>
            </w:r>
            <w:r>
              <w:rPr>
                <w:rFonts w:hint="eastAsia"/>
                <w:spacing w:val="7"/>
                <w:lang w:eastAsia="zh-CN"/>
              </w:rPr>
              <w:t>）</w:t>
            </w:r>
            <w:r>
              <w:rPr>
                <w:spacing w:val="7"/>
              </w:rPr>
              <w:t>。</w:t>
            </w:r>
            <w:r>
              <w:rPr>
                <w:spacing w:val="8"/>
              </w:rPr>
              <w:t>上述资料原件备查</w:t>
            </w:r>
            <w:r>
              <w:rPr>
                <w:spacing w:val="1"/>
              </w:rPr>
              <w:t>；</w:t>
            </w:r>
          </w:p>
        </w:tc>
      </w:tr>
      <w:tr w14:paraId="643A5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730" w:type="dxa"/>
            <w:vMerge w:val="continue"/>
            <w:tcBorders>
              <w:top w:val="nil"/>
              <w:left w:val="single" w:color="000000" w:sz="2" w:space="0"/>
              <w:bottom w:val="nil"/>
            </w:tcBorders>
            <w:vAlign w:val="top"/>
          </w:tcPr>
          <w:p w14:paraId="6A66ED07">
            <w:pPr>
              <w:rPr>
                <w:rFonts w:ascii="Arial"/>
                <w:sz w:val="21"/>
              </w:rPr>
            </w:pPr>
          </w:p>
        </w:tc>
        <w:tc>
          <w:tcPr>
            <w:tcW w:w="7948" w:type="dxa"/>
            <w:tcBorders>
              <w:right w:val="single" w:color="000000" w:sz="2" w:space="0"/>
            </w:tcBorders>
            <w:vAlign w:val="top"/>
          </w:tcPr>
          <w:p w14:paraId="77E4B807">
            <w:pPr>
              <w:pStyle w:val="7"/>
              <w:spacing w:before="130" w:line="369" w:lineRule="auto"/>
              <w:ind w:left="135" w:right="107" w:hanging="22"/>
            </w:pPr>
            <w:r>
              <w:rPr>
                <w:spacing w:val="14"/>
              </w:rPr>
              <w:t>2.参与本项目政府采购活动时不存在被有关部门禁止参与政府采购活动且在有效期</w:t>
            </w:r>
            <w:r>
              <w:rPr>
                <w:spacing w:val="9"/>
              </w:rPr>
              <w:t>内的情况（由参评人在《政府采购投标及履约承诺函》中作出声明，加</w:t>
            </w:r>
            <w:r>
              <w:rPr>
                <w:spacing w:val="8"/>
              </w:rPr>
              <w:t>盖公章</w:t>
            </w:r>
            <w:r>
              <w:t>）；</w:t>
            </w:r>
          </w:p>
        </w:tc>
      </w:tr>
      <w:tr w14:paraId="1161C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730" w:type="dxa"/>
            <w:vMerge w:val="continue"/>
            <w:tcBorders>
              <w:top w:val="nil"/>
              <w:left w:val="single" w:color="000000" w:sz="2" w:space="0"/>
              <w:bottom w:val="nil"/>
            </w:tcBorders>
            <w:vAlign w:val="top"/>
          </w:tcPr>
          <w:p w14:paraId="6BFF62B1">
            <w:pPr>
              <w:rPr>
                <w:rFonts w:ascii="Arial"/>
                <w:sz w:val="21"/>
              </w:rPr>
            </w:pPr>
          </w:p>
        </w:tc>
        <w:tc>
          <w:tcPr>
            <w:tcW w:w="7948" w:type="dxa"/>
            <w:tcBorders>
              <w:right w:val="single" w:color="000000" w:sz="2" w:space="0"/>
            </w:tcBorders>
            <w:vAlign w:val="top"/>
          </w:tcPr>
          <w:p w14:paraId="1947C12E">
            <w:pPr>
              <w:pStyle w:val="7"/>
              <w:spacing w:before="129" w:line="370" w:lineRule="auto"/>
              <w:ind w:left="110" w:right="107" w:firstLine="5"/>
            </w:pPr>
            <w:r>
              <w:rPr>
                <w:spacing w:val="8"/>
              </w:rPr>
              <w:t>3.具备《中华人民共和国政府采购法》第二十二条第一款的条件（由参评人在《政府</w:t>
            </w:r>
            <w:r>
              <w:rPr>
                <w:spacing w:val="9"/>
              </w:rPr>
              <w:t>采购投标及履约承诺函》中作出声明，加盖公章</w:t>
            </w:r>
            <w:r>
              <w:rPr>
                <w:spacing w:val="5"/>
              </w:rPr>
              <w:t>）；</w:t>
            </w:r>
          </w:p>
        </w:tc>
      </w:tr>
      <w:tr w14:paraId="5E601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2" w:hRule="atLeast"/>
        </w:trPr>
        <w:tc>
          <w:tcPr>
            <w:tcW w:w="1730" w:type="dxa"/>
            <w:vMerge w:val="continue"/>
            <w:tcBorders>
              <w:top w:val="nil"/>
              <w:left w:val="single" w:color="000000" w:sz="2" w:space="0"/>
              <w:bottom w:val="nil"/>
            </w:tcBorders>
            <w:vAlign w:val="top"/>
          </w:tcPr>
          <w:p w14:paraId="510AEC2B">
            <w:pPr>
              <w:rPr>
                <w:rFonts w:ascii="Arial"/>
                <w:sz w:val="21"/>
              </w:rPr>
            </w:pPr>
          </w:p>
        </w:tc>
        <w:tc>
          <w:tcPr>
            <w:tcW w:w="7948" w:type="dxa"/>
            <w:tcBorders>
              <w:right w:val="single" w:color="000000" w:sz="2" w:space="0"/>
            </w:tcBorders>
            <w:vAlign w:val="top"/>
          </w:tcPr>
          <w:p w14:paraId="5BB34EF0">
            <w:pPr>
              <w:pStyle w:val="7"/>
              <w:spacing w:before="130" w:line="411" w:lineRule="auto"/>
              <w:ind w:left="100" w:right="103" w:firstLine="9"/>
              <w:jc w:val="both"/>
            </w:pPr>
            <w:r>
              <w:rPr>
                <w:spacing w:val="8"/>
              </w:rPr>
              <w:t>4.未被列入失信被执行人、重大税收违法失信主体、政府采购严重违法失信行为记录</w:t>
            </w:r>
            <w:r>
              <w:rPr>
                <w:spacing w:val="9"/>
              </w:rPr>
              <w:t>名单（由参评人在《政府采购投标及履约承诺函》中作出声明</w:t>
            </w:r>
            <w:r>
              <w:rPr>
                <w:rFonts w:hint="eastAsia"/>
                <w:spacing w:val="9"/>
                <w:lang w:eastAsia="zh-CN"/>
              </w:rPr>
              <w:t>，并</w:t>
            </w:r>
            <w:r>
              <w:rPr>
                <w:spacing w:val="9"/>
              </w:rPr>
              <w:t>加盖公章）【注：采</w:t>
            </w:r>
            <w:r>
              <w:rPr>
                <w:spacing w:val="7"/>
              </w:rPr>
              <w:t>购代理机构将通过“信用中国</w:t>
            </w:r>
            <w:r>
              <w:rPr>
                <w:spacing w:val="-70"/>
              </w:rPr>
              <w:t xml:space="preserve"> </w:t>
            </w:r>
            <w:r>
              <w:rPr>
                <w:spacing w:val="7"/>
              </w:rPr>
              <w:t>”中“信息公示</w:t>
            </w:r>
            <w:r>
              <w:rPr>
                <w:spacing w:val="-70"/>
              </w:rPr>
              <w:t xml:space="preserve"> </w:t>
            </w:r>
            <w:r>
              <w:rPr>
                <w:spacing w:val="7"/>
              </w:rPr>
              <w:t>”</w:t>
            </w:r>
            <w:r>
              <w:rPr>
                <w:spacing w:val="6"/>
              </w:rPr>
              <w:t>栏的“重大税收违法失信主体</w:t>
            </w:r>
            <w:r>
              <w:rPr>
                <w:spacing w:val="-70"/>
              </w:rPr>
              <w:t xml:space="preserve"> </w:t>
            </w:r>
            <w:r>
              <w:rPr>
                <w:spacing w:val="6"/>
              </w:rPr>
              <w:t>”“失信被执行人</w:t>
            </w:r>
            <w:r>
              <w:rPr>
                <w:spacing w:val="-72"/>
              </w:rPr>
              <w:t xml:space="preserve"> </w:t>
            </w:r>
            <w:r>
              <w:rPr>
                <w:rFonts w:hint="eastAsia"/>
                <w:spacing w:val="-72"/>
                <w:lang w:eastAsia="zh-CN"/>
              </w:rPr>
              <w:t>”“</w:t>
            </w:r>
            <w:r>
              <w:rPr>
                <w:spacing w:val="-70"/>
              </w:rPr>
              <w:t xml:space="preserve"> </w:t>
            </w:r>
            <w:r>
              <w:rPr>
                <w:spacing w:val="6"/>
              </w:rPr>
              <w:t>中国政府采购网</w:t>
            </w:r>
            <w:r>
              <w:rPr>
                <w:spacing w:val="-72"/>
              </w:rPr>
              <w:t xml:space="preserve"> </w:t>
            </w:r>
            <w:r>
              <w:rPr>
                <w:spacing w:val="6"/>
              </w:rPr>
              <w:t>”中的“政府采购严重违法失信行为记录名</w:t>
            </w:r>
            <w:r>
              <w:rPr>
                <w:spacing w:val="5"/>
              </w:rPr>
              <w:t>单</w:t>
            </w:r>
            <w:r>
              <w:rPr>
                <w:spacing w:val="-70"/>
              </w:rPr>
              <w:t xml:space="preserve"> </w:t>
            </w:r>
            <w:r>
              <w:rPr>
                <w:spacing w:val="5"/>
              </w:rPr>
              <w:t>”、</w:t>
            </w:r>
            <w:r>
              <w:t xml:space="preserve"> </w:t>
            </w:r>
            <w:r>
              <w:rPr>
                <w:spacing w:val="7"/>
              </w:rPr>
              <w:t>“深圳信用网</w:t>
            </w:r>
            <w:r>
              <w:rPr>
                <w:spacing w:val="-56"/>
              </w:rPr>
              <w:t xml:space="preserve"> </w:t>
            </w:r>
            <w:r>
              <w:rPr>
                <w:spacing w:val="7"/>
              </w:rPr>
              <w:t>”以及“深圳市政府采购监管网</w:t>
            </w:r>
            <w:r>
              <w:rPr>
                <w:spacing w:val="-70"/>
              </w:rPr>
              <w:t xml:space="preserve"> </w:t>
            </w:r>
            <w:r>
              <w:rPr>
                <w:spacing w:val="7"/>
              </w:rPr>
              <w:t>”查询参评人的信用信息，相关信息以</w:t>
            </w:r>
            <w:r>
              <w:rPr>
                <w:spacing w:val="9"/>
              </w:rPr>
              <w:t>开标当日的查询结果为准。信用信息查询记录将作为项目档案材料一并保存】；</w:t>
            </w:r>
          </w:p>
        </w:tc>
      </w:tr>
      <w:tr w14:paraId="76B20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5" w:hRule="atLeast"/>
        </w:trPr>
        <w:tc>
          <w:tcPr>
            <w:tcW w:w="1730" w:type="dxa"/>
            <w:vMerge w:val="continue"/>
            <w:tcBorders>
              <w:top w:val="nil"/>
              <w:left w:val="single" w:color="000000" w:sz="2" w:space="0"/>
              <w:bottom w:val="single" w:color="000000" w:sz="2" w:space="0"/>
            </w:tcBorders>
            <w:vAlign w:val="top"/>
          </w:tcPr>
          <w:p w14:paraId="732CAFE5">
            <w:pPr>
              <w:rPr>
                <w:rFonts w:ascii="Arial"/>
                <w:sz w:val="21"/>
              </w:rPr>
            </w:pPr>
          </w:p>
        </w:tc>
        <w:tc>
          <w:tcPr>
            <w:tcW w:w="7948" w:type="dxa"/>
            <w:tcBorders>
              <w:bottom w:val="single" w:color="000000" w:sz="2" w:space="0"/>
              <w:right w:val="single" w:color="000000" w:sz="2" w:space="0"/>
            </w:tcBorders>
            <w:vAlign w:val="top"/>
          </w:tcPr>
          <w:p w14:paraId="2F9C92F6">
            <w:pPr>
              <w:pStyle w:val="7"/>
              <w:spacing w:before="133" w:line="413" w:lineRule="auto"/>
              <w:ind w:left="110" w:right="104" w:firstLine="4"/>
              <w:jc w:val="both"/>
            </w:pPr>
            <w:r>
              <w:rPr>
                <w:spacing w:val="8"/>
              </w:rPr>
              <w:t>5.单位法定代表人（负责人）为同一人或者存在直接控股、管理关系的不同参评人，</w:t>
            </w:r>
            <w:r>
              <w:rPr>
                <w:spacing w:val="9"/>
              </w:rPr>
              <w:t>不得同时参加本项目投标（由参评人在《政府采购投标及履约</w:t>
            </w:r>
            <w:r>
              <w:rPr>
                <w:spacing w:val="8"/>
              </w:rPr>
              <w:t>承诺函》中作出声明，</w:t>
            </w:r>
            <w:r>
              <w:rPr>
                <w:spacing w:val="-5"/>
              </w:rPr>
              <w:t>加</w:t>
            </w:r>
            <w:r>
              <w:rPr>
                <w:spacing w:val="-25"/>
              </w:rPr>
              <w:t xml:space="preserve"> </w:t>
            </w:r>
            <w:r>
              <w:rPr>
                <w:spacing w:val="-5"/>
              </w:rPr>
              <w:t>盖</w:t>
            </w:r>
            <w:r>
              <w:rPr>
                <w:spacing w:val="-26"/>
              </w:rPr>
              <w:t xml:space="preserve"> </w:t>
            </w:r>
            <w:r>
              <w:rPr>
                <w:spacing w:val="-5"/>
              </w:rPr>
              <w:t>公</w:t>
            </w:r>
            <w:r>
              <w:rPr>
                <w:spacing w:val="-24"/>
              </w:rPr>
              <w:t xml:space="preserve"> </w:t>
            </w:r>
            <w:r>
              <w:rPr>
                <w:spacing w:val="-5"/>
              </w:rPr>
              <w:t>章 ）</w:t>
            </w:r>
            <w:r>
              <w:rPr>
                <w:spacing w:val="8"/>
              </w:rPr>
              <w:t>；</w:t>
            </w:r>
          </w:p>
        </w:tc>
      </w:tr>
    </w:tbl>
    <w:p w14:paraId="3B8DB70F">
      <w:pPr>
        <w:rPr>
          <w:rFonts w:ascii="Arial"/>
          <w:sz w:val="21"/>
        </w:rPr>
      </w:pPr>
    </w:p>
    <w:p w14:paraId="26308B1A">
      <w:pPr>
        <w:rPr>
          <w:rFonts w:ascii="Arial" w:hAnsi="Arial" w:eastAsia="Arial" w:cs="Arial"/>
          <w:sz w:val="21"/>
          <w:szCs w:val="21"/>
        </w:rPr>
        <w:sectPr>
          <w:headerReference r:id="rId7" w:type="default"/>
          <w:footerReference r:id="rId8" w:type="default"/>
          <w:pgSz w:w="11906" w:h="16839"/>
          <w:pgMar w:top="1087" w:right="1297" w:bottom="1065" w:left="924" w:header="810" w:footer="903" w:gutter="0"/>
          <w:cols w:space="720" w:num="1"/>
        </w:sectPr>
      </w:pPr>
    </w:p>
    <w:p w14:paraId="6DDB9633">
      <w:pPr>
        <w:spacing w:line="46" w:lineRule="exact"/>
      </w:pPr>
    </w:p>
    <w:tbl>
      <w:tblPr>
        <w:tblStyle w:val="8"/>
        <w:tblW w:w="9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7948"/>
      </w:tblGrid>
      <w:tr w14:paraId="3571E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2" w:hRule="atLeast"/>
        </w:trPr>
        <w:tc>
          <w:tcPr>
            <w:tcW w:w="1730" w:type="dxa"/>
            <w:vMerge w:val="restart"/>
            <w:tcBorders>
              <w:top w:val="single" w:color="000000" w:sz="2" w:space="0"/>
              <w:left w:val="single" w:color="000000" w:sz="2" w:space="0"/>
              <w:bottom w:val="nil"/>
            </w:tcBorders>
            <w:vAlign w:val="top"/>
          </w:tcPr>
          <w:p w14:paraId="71D21BFE">
            <w:pPr>
              <w:rPr>
                <w:rFonts w:ascii="Arial"/>
                <w:sz w:val="21"/>
              </w:rPr>
            </w:pPr>
          </w:p>
        </w:tc>
        <w:tc>
          <w:tcPr>
            <w:tcW w:w="7948" w:type="dxa"/>
            <w:tcBorders>
              <w:top w:val="single" w:color="000000" w:sz="2" w:space="0"/>
              <w:right w:val="single" w:color="000000" w:sz="2" w:space="0"/>
            </w:tcBorders>
            <w:vAlign w:val="top"/>
          </w:tcPr>
          <w:p w14:paraId="3659D3D0">
            <w:pPr>
              <w:pStyle w:val="7"/>
              <w:spacing w:before="142" w:line="414" w:lineRule="auto"/>
              <w:ind w:left="110" w:right="104" w:firstLine="2"/>
              <w:jc w:val="both"/>
            </w:pPr>
            <w:r>
              <w:rPr>
                <w:spacing w:val="8"/>
              </w:rPr>
              <w:t>6.不存在不同参评人法定代表人（不强制要求有社保）、投标授权代表人、项目负责</w:t>
            </w:r>
            <w:r>
              <w:rPr>
                <w:spacing w:val="9"/>
              </w:rPr>
              <w:t>人（如有）、主要技术人员（如有）、投标文件编制人员为同一</w:t>
            </w:r>
            <w:r>
              <w:rPr>
                <w:spacing w:val="8"/>
              </w:rPr>
              <w:t>人、属同一单位或者</w:t>
            </w:r>
            <w:r>
              <w:rPr>
                <w:spacing w:val="9"/>
              </w:rPr>
              <w:t>在同一单位缴纳社会保险的情形；不同参评人不存在直接控股、</w:t>
            </w:r>
            <w:r>
              <w:rPr>
                <w:spacing w:val="8"/>
              </w:rPr>
              <w:t>管理关系的情形（由</w:t>
            </w:r>
            <w:r>
              <w:rPr>
                <w:spacing w:val="9"/>
              </w:rPr>
              <w:t>供应商提供《供应商基本情况表》并加盖供应商公章，同时提供</w:t>
            </w:r>
            <w:r>
              <w:rPr>
                <w:spacing w:val="8"/>
              </w:rPr>
              <w:t>供应商社保缴纳证明</w:t>
            </w:r>
            <w:r>
              <w:rPr>
                <w:spacing w:val="9"/>
              </w:rPr>
              <w:t>材料及股权（或管理）关系证明材料（格式与具体采购文件</w:t>
            </w:r>
            <w:r>
              <w:rPr>
                <w:spacing w:val="8"/>
              </w:rPr>
              <w:t>的章节对应）。如参评人</w:t>
            </w:r>
            <w:r>
              <w:rPr>
                <w:spacing w:val="9"/>
              </w:rPr>
              <w:t>存在未提供《供应商基本情况表》、社保缴纳证明材料及股</w:t>
            </w:r>
            <w:r>
              <w:rPr>
                <w:spacing w:val="8"/>
              </w:rPr>
              <w:t>权（或管理）关系证明材</w:t>
            </w:r>
            <w:r>
              <w:rPr>
                <w:spacing w:val="10"/>
              </w:rPr>
              <w:t>料或所提供证明材料不符合采购文件要求的情形</w:t>
            </w:r>
            <w:r>
              <w:rPr>
                <w:spacing w:val="9"/>
              </w:rPr>
              <w:t>，按资格审查不通过处理</w:t>
            </w:r>
            <w:r>
              <w:t>）；</w:t>
            </w:r>
          </w:p>
        </w:tc>
      </w:tr>
      <w:tr w14:paraId="28E6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1730" w:type="dxa"/>
            <w:vMerge w:val="continue"/>
            <w:tcBorders>
              <w:top w:val="nil"/>
              <w:left w:val="single" w:color="000000" w:sz="2" w:space="0"/>
              <w:bottom w:val="nil"/>
            </w:tcBorders>
            <w:vAlign w:val="top"/>
          </w:tcPr>
          <w:p w14:paraId="4CAD021E">
            <w:pPr>
              <w:rPr>
                <w:rFonts w:ascii="Arial"/>
                <w:sz w:val="21"/>
              </w:rPr>
            </w:pPr>
          </w:p>
        </w:tc>
        <w:tc>
          <w:tcPr>
            <w:tcW w:w="7948" w:type="dxa"/>
            <w:tcBorders>
              <w:right w:val="single" w:color="000000" w:sz="2" w:space="0"/>
            </w:tcBorders>
            <w:vAlign w:val="top"/>
          </w:tcPr>
          <w:p w14:paraId="084FD6FB">
            <w:pPr>
              <w:pStyle w:val="7"/>
              <w:spacing w:before="127" w:line="391" w:lineRule="auto"/>
              <w:ind w:left="111" w:right="104" w:firstLine="4"/>
              <w:jc w:val="both"/>
            </w:pPr>
            <w:r>
              <w:rPr>
                <w:spacing w:val="8"/>
              </w:rPr>
              <w:t>7.为本项目提供整体设计、规范编制或者项目管理、监理、检测等服务的参评人，不</w:t>
            </w:r>
            <w:r>
              <w:rPr>
                <w:spacing w:val="9"/>
              </w:rPr>
              <w:t>得参加本项目投标（由参评人在《政府采购投标及履约承诺</w:t>
            </w:r>
            <w:r>
              <w:rPr>
                <w:spacing w:val="8"/>
              </w:rPr>
              <w:t>函》中作出声明，加盖公</w:t>
            </w:r>
            <w:r>
              <w:t>章）；</w:t>
            </w:r>
          </w:p>
        </w:tc>
      </w:tr>
      <w:tr w14:paraId="26BE3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730" w:type="dxa"/>
            <w:vMerge w:val="continue"/>
            <w:tcBorders>
              <w:top w:val="nil"/>
              <w:left w:val="single" w:color="000000" w:sz="2" w:space="0"/>
              <w:bottom w:val="nil"/>
            </w:tcBorders>
            <w:vAlign w:val="top"/>
          </w:tcPr>
          <w:p w14:paraId="7595E54B">
            <w:pPr>
              <w:rPr>
                <w:rFonts w:ascii="Arial"/>
                <w:sz w:val="21"/>
              </w:rPr>
            </w:pPr>
          </w:p>
        </w:tc>
        <w:tc>
          <w:tcPr>
            <w:tcW w:w="7948" w:type="dxa"/>
            <w:tcBorders>
              <w:right w:val="single" w:color="000000" w:sz="2" w:space="0"/>
            </w:tcBorders>
            <w:vAlign w:val="top"/>
          </w:tcPr>
          <w:p w14:paraId="4132D455">
            <w:pPr>
              <w:pStyle w:val="7"/>
              <w:spacing w:before="131" w:line="369" w:lineRule="auto"/>
              <w:ind w:left="110" w:right="104"/>
            </w:pPr>
            <w:r>
              <w:rPr>
                <w:spacing w:val="8"/>
              </w:rPr>
              <w:t>8.本项目不接受联合体投标，不允许转包、分包（由参评人在《政府采购投标及履约</w:t>
            </w:r>
            <w:r>
              <w:rPr>
                <w:spacing w:val="9"/>
              </w:rPr>
              <w:t>承诺函》中作出声明，加盖公章</w:t>
            </w:r>
            <w:r>
              <w:rPr>
                <w:spacing w:val="1"/>
              </w:rPr>
              <w:t>）；</w:t>
            </w:r>
          </w:p>
        </w:tc>
      </w:tr>
      <w:tr w14:paraId="1BEE8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4" w:hRule="atLeast"/>
        </w:trPr>
        <w:tc>
          <w:tcPr>
            <w:tcW w:w="1730" w:type="dxa"/>
            <w:vMerge w:val="continue"/>
            <w:tcBorders>
              <w:top w:val="nil"/>
              <w:left w:val="single" w:color="000000" w:sz="2" w:space="0"/>
            </w:tcBorders>
            <w:vAlign w:val="top"/>
          </w:tcPr>
          <w:p w14:paraId="3E3FCDBE">
            <w:pPr>
              <w:rPr>
                <w:rFonts w:ascii="Arial"/>
                <w:sz w:val="21"/>
              </w:rPr>
            </w:pPr>
          </w:p>
        </w:tc>
        <w:tc>
          <w:tcPr>
            <w:tcW w:w="7948" w:type="dxa"/>
            <w:tcBorders>
              <w:right w:val="single" w:color="000000" w:sz="2" w:space="0"/>
            </w:tcBorders>
            <w:vAlign w:val="top"/>
          </w:tcPr>
          <w:p w14:paraId="48563AE0">
            <w:pPr>
              <w:pStyle w:val="7"/>
              <w:spacing w:before="129" w:line="432" w:lineRule="auto"/>
              <w:ind w:left="111" w:right="104"/>
              <w:jc w:val="both"/>
            </w:pPr>
            <w:r>
              <w:rPr>
                <w:spacing w:val="8"/>
              </w:rPr>
              <w:t>9.本项目属于专门面向中小微企业采购的项目。参评人提供符合要求的《中小企业声</w:t>
            </w:r>
            <w:r>
              <w:rPr>
                <w:spacing w:val="9"/>
              </w:rPr>
              <w:t>明函》，参评人必须属于中型企业或小型企业或微型企业；</w:t>
            </w:r>
            <w:r>
              <w:rPr>
                <w:spacing w:val="8"/>
              </w:rPr>
              <w:t>如参评人为残疾人福利性</w:t>
            </w:r>
            <w:r>
              <w:rPr>
                <w:spacing w:val="9"/>
              </w:rPr>
              <w:t>单位或监狱企业，视同小型、微型企业，提供《残疾</w:t>
            </w:r>
            <w:r>
              <w:rPr>
                <w:spacing w:val="8"/>
              </w:rPr>
              <w:t>人福利性单位声明函》或《监狱企业声明函》及监狱企业证明文件亦视为符合。</w:t>
            </w:r>
          </w:p>
          <w:p w14:paraId="3D2FBA3A">
            <w:pPr>
              <w:pStyle w:val="7"/>
              <w:spacing w:line="226" w:lineRule="auto"/>
              <w:ind w:left="111"/>
            </w:pPr>
            <w:r>
              <w:rPr>
                <w:spacing w:val="9"/>
              </w:rPr>
              <w:t>本项目对应的中小企业划分标准所属行业：其他未列明行业。</w:t>
            </w:r>
          </w:p>
        </w:tc>
      </w:tr>
      <w:tr w14:paraId="09B74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730" w:type="dxa"/>
            <w:vMerge w:val="restart"/>
            <w:tcBorders>
              <w:left w:val="single" w:color="000000" w:sz="2" w:space="0"/>
              <w:bottom w:val="nil"/>
            </w:tcBorders>
            <w:vAlign w:val="top"/>
          </w:tcPr>
          <w:p w14:paraId="5DFA47E0">
            <w:pPr>
              <w:spacing w:line="246" w:lineRule="auto"/>
              <w:rPr>
                <w:rFonts w:ascii="Arial"/>
                <w:sz w:val="21"/>
              </w:rPr>
            </w:pPr>
          </w:p>
          <w:p w14:paraId="36A30704">
            <w:pPr>
              <w:spacing w:line="246" w:lineRule="auto"/>
              <w:rPr>
                <w:rFonts w:ascii="Arial"/>
                <w:sz w:val="21"/>
              </w:rPr>
            </w:pPr>
          </w:p>
          <w:p w14:paraId="64C56A99">
            <w:pPr>
              <w:spacing w:line="246" w:lineRule="auto"/>
              <w:rPr>
                <w:rFonts w:ascii="Arial"/>
                <w:sz w:val="21"/>
              </w:rPr>
            </w:pPr>
          </w:p>
          <w:p w14:paraId="337BCBC2">
            <w:pPr>
              <w:spacing w:line="246" w:lineRule="auto"/>
              <w:rPr>
                <w:rFonts w:ascii="Arial"/>
                <w:sz w:val="21"/>
              </w:rPr>
            </w:pPr>
          </w:p>
          <w:p w14:paraId="42D46EF2">
            <w:pPr>
              <w:spacing w:line="246" w:lineRule="auto"/>
              <w:rPr>
                <w:rFonts w:ascii="Arial"/>
                <w:sz w:val="21"/>
              </w:rPr>
            </w:pPr>
          </w:p>
          <w:p w14:paraId="67DDD669">
            <w:pPr>
              <w:spacing w:line="246" w:lineRule="auto"/>
              <w:rPr>
                <w:rFonts w:ascii="Arial"/>
                <w:sz w:val="21"/>
              </w:rPr>
            </w:pPr>
          </w:p>
          <w:p w14:paraId="5872D7BF">
            <w:pPr>
              <w:spacing w:line="246" w:lineRule="auto"/>
              <w:rPr>
                <w:rFonts w:ascii="Arial"/>
                <w:sz w:val="21"/>
              </w:rPr>
            </w:pPr>
          </w:p>
          <w:p w14:paraId="2B597635">
            <w:pPr>
              <w:spacing w:line="247" w:lineRule="auto"/>
              <w:rPr>
                <w:rFonts w:ascii="Arial"/>
                <w:sz w:val="21"/>
              </w:rPr>
            </w:pPr>
          </w:p>
          <w:p w14:paraId="2411AA70">
            <w:pPr>
              <w:spacing w:line="247" w:lineRule="auto"/>
              <w:rPr>
                <w:rFonts w:ascii="Arial"/>
                <w:sz w:val="21"/>
              </w:rPr>
            </w:pPr>
          </w:p>
          <w:p w14:paraId="41B67FDE">
            <w:pPr>
              <w:spacing w:line="247" w:lineRule="auto"/>
              <w:rPr>
                <w:rFonts w:ascii="Arial"/>
                <w:sz w:val="21"/>
              </w:rPr>
            </w:pPr>
          </w:p>
          <w:p w14:paraId="2188D7FB">
            <w:pPr>
              <w:spacing w:line="247" w:lineRule="auto"/>
              <w:rPr>
                <w:rFonts w:ascii="Arial"/>
                <w:sz w:val="21"/>
              </w:rPr>
            </w:pPr>
          </w:p>
          <w:p w14:paraId="500B3AE1">
            <w:pPr>
              <w:pStyle w:val="7"/>
              <w:spacing w:before="65" w:line="434" w:lineRule="auto"/>
              <w:ind w:left="660" w:right="338" w:hanging="315"/>
            </w:pPr>
            <w:r>
              <w:rPr>
                <w:spacing w:val="7"/>
              </w:rPr>
              <w:t>符合性审查</w:t>
            </w:r>
            <w:r>
              <w:rPr>
                <w:spacing w:val="4"/>
              </w:rPr>
              <w:t>要求</w:t>
            </w:r>
          </w:p>
        </w:tc>
        <w:tc>
          <w:tcPr>
            <w:tcW w:w="7948" w:type="dxa"/>
            <w:tcBorders>
              <w:bottom w:val="single" w:color="000000" w:sz="2" w:space="0"/>
              <w:right w:val="single" w:color="000000" w:sz="2" w:space="0"/>
            </w:tcBorders>
            <w:vAlign w:val="top"/>
          </w:tcPr>
          <w:p w14:paraId="014E1E7E">
            <w:pPr>
              <w:pStyle w:val="7"/>
              <w:spacing w:before="129" w:line="228" w:lineRule="auto"/>
              <w:ind w:left="126"/>
            </w:pPr>
            <w:r>
              <w:rPr>
                <w:spacing w:val="6"/>
              </w:rPr>
              <w:t>1.将一个包中的内容拆开投标。</w:t>
            </w:r>
          </w:p>
        </w:tc>
      </w:tr>
      <w:tr w14:paraId="3513A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730" w:type="dxa"/>
            <w:vMerge w:val="continue"/>
            <w:tcBorders>
              <w:top w:val="nil"/>
              <w:left w:val="single" w:color="000000" w:sz="2" w:space="0"/>
              <w:bottom w:val="nil"/>
            </w:tcBorders>
            <w:vAlign w:val="top"/>
          </w:tcPr>
          <w:p w14:paraId="0392EAA7">
            <w:pPr>
              <w:rPr>
                <w:rFonts w:ascii="Arial"/>
                <w:sz w:val="21"/>
              </w:rPr>
            </w:pPr>
          </w:p>
        </w:tc>
        <w:tc>
          <w:tcPr>
            <w:tcW w:w="7948" w:type="dxa"/>
            <w:tcBorders>
              <w:top w:val="single" w:color="000000" w:sz="2" w:space="0"/>
              <w:right w:val="single" w:color="000000" w:sz="2" w:space="0"/>
            </w:tcBorders>
            <w:vAlign w:val="top"/>
          </w:tcPr>
          <w:p w14:paraId="40C0CF56">
            <w:pPr>
              <w:pStyle w:val="7"/>
              <w:spacing w:before="137" w:line="226" w:lineRule="auto"/>
              <w:ind w:left="113"/>
            </w:pPr>
            <w:r>
              <w:rPr>
                <w:spacing w:val="8"/>
              </w:rPr>
              <w:t>2.参评文件及参评报价表未按规定密封、签字、盖章。</w:t>
            </w:r>
          </w:p>
        </w:tc>
      </w:tr>
      <w:tr w14:paraId="4B23D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730" w:type="dxa"/>
            <w:vMerge w:val="continue"/>
            <w:tcBorders>
              <w:top w:val="nil"/>
              <w:left w:val="single" w:color="000000" w:sz="2" w:space="0"/>
              <w:bottom w:val="nil"/>
            </w:tcBorders>
            <w:vAlign w:val="top"/>
          </w:tcPr>
          <w:p w14:paraId="623055D5">
            <w:pPr>
              <w:rPr>
                <w:rFonts w:ascii="Arial"/>
                <w:sz w:val="21"/>
              </w:rPr>
            </w:pPr>
          </w:p>
        </w:tc>
        <w:tc>
          <w:tcPr>
            <w:tcW w:w="7948" w:type="dxa"/>
            <w:tcBorders>
              <w:right w:val="single" w:color="000000" w:sz="2" w:space="0"/>
            </w:tcBorders>
            <w:vAlign w:val="top"/>
          </w:tcPr>
          <w:p w14:paraId="3DBDAACF">
            <w:pPr>
              <w:pStyle w:val="7"/>
              <w:spacing w:before="131" w:line="369" w:lineRule="auto"/>
              <w:ind w:left="127" w:right="104" w:hanging="12"/>
            </w:pPr>
            <w:r>
              <w:rPr>
                <w:spacing w:val="8"/>
              </w:rPr>
              <w:t>3.遴选文件未规定允许有替代方案时，对同一项目参评时，同时提供两套或两套以上</w:t>
            </w:r>
            <w:r>
              <w:rPr>
                <w:spacing w:val="3"/>
              </w:rPr>
              <w:t>的参评方案。</w:t>
            </w:r>
          </w:p>
        </w:tc>
      </w:tr>
      <w:tr w14:paraId="37E56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730" w:type="dxa"/>
            <w:vMerge w:val="continue"/>
            <w:tcBorders>
              <w:top w:val="nil"/>
              <w:left w:val="single" w:color="000000" w:sz="2" w:space="0"/>
              <w:bottom w:val="nil"/>
            </w:tcBorders>
            <w:vAlign w:val="top"/>
          </w:tcPr>
          <w:p w14:paraId="6CB42693">
            <w:pPr>
              <w:rPr>
                <w:rFonts w:ascii="Arial"/>
                <w:sz w:val="21"/>
              </w:rPr>
            </w:pPr>
          </w:p>
        </w:tc>
        <w:tc>
          <w:tcPr>
            <w:tcW w:w="7948" w:type="dxa"/>
            <w:tcBorders>
              <w:right w:val="single" w:color="000000" w:sz="2" w:space="0"/>
            </w:tcBorders>
            <w:vAlign w:val="top"/>
          </w:tcPr>
          <w:p w14:paraId="46949AB9">
            <w:pPr>
              <w:pStyle w:val="7"/>
              <w:spacing w:before="132" w:line="226" w:lineRule="auto"/>
              <w:ind w:left="110"/>
            </w:pPr>
            <w:r>
              <w:rPr>
                <w:spacing w:val="9"/>
              </w:rPr>
              <w:t>4.分项报价或参评总价高于预算金额（最高参评</w:t>
            </w:r>
            <w:r>
              <w:rPr>
                <w:spacing w:val="8"/>
              </w:rPr>
              <w:t>限价）的。</w:t>
            </w:r>
          </w:p>
        </w:tc>
      </w:tr>
      <w:tr w14:paraId="76019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730" w:type="dxa"/>
            <w:vMerge w:val="continue"/>
            <w:tcBorders>
              <w:top w:val="nil"/>
              <w:left w:val="single" w:color="000000" w:sz="2" w:space="0"/>
              <w:bottom w:val="nil"/>
            </w:tcBorders>
            <w:vAlign w:val="top"/>
          </w:tcPr>
          <w:p w14:paraId="274649A6">
            <w:pPr>
              <w:rPr>
                <w:rFonts w:ascii="Arial"/>
                <w:sz w:val="21"/>
              </w:rPr>
            </w:pPr>
          </w:p>
        </w:tc>
        <w:tc>
          <w:tcPr>
            <w:tcW w:w="7948" w:type="dxa"/>
            <w:tcBorders>
              <w:right w:val="single" w:color="000000" w:sz="2" w:space="0"/>
            </w:tcBorders>
            <w:vAlign w:val="top"/>
          </w:tcPr>
          <w:p w14:paraId="2A70FB38">
            <w:pPr>
              <w:pStyle w:val="7"/>
              <w:spacing w:before="131" w:line="226" w:lineRule="auto"/>
              <w:ind w:left="115"/>
            </w:pPr>
            <w:r>
              <w:rPr>
                <w:spacing w:val="9"/>
              </w:rPr>
              <w:t>5.同一项目出现两个及以上报价，按规定又无法确定哪个是有</w:t>
            </w:r>
            <w:r>
              <w:rPr>
                <w:spacing w:val="8"/>
              </w:rPr>
              <w:t>效报价。</w:t>
            </w:r>
          </w:p>
        </w:tc>
      </w:tr>
      <w:tr w14:paraId="4A58B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8" w:hRule="atLeast"/>
        </w:trPr>
        <w:tc>
          <w:tcPr>
            <w:tcW w:w="1730" w:type="dxa"/>
            <w:vMerge w:val="continue"/>
            <w:tcBorders>
              <w:top w:val="nil"/>
              <w:left w:val="single" w:color="000000" w:sz="2" w:space="0"/>
              <w:bottom w:val="nil"/>
            </w:tcBorders>
            <w:vAlign w:val="top"/>
          </w:tcPr>
          <w:p w14:paraId="6EDA9911">
            <w:pPr>
              <w:rPr>
                <w:rFonts w:ascii="Arial"/>
                <w:sz w:val="21"/>
              </w:rPr>
            </w:pPr>
          </w:p>
        </w:tc>
        <w:tc>
          <w:tcPr>
            <w:tcW w:w="7948" w:type="dxa"/>
            <w:tcBorders>
              <w:right w:val="single" w:color="000000" w:sz="2" w:space="0"/>
            </w:tcBorders>
            <w:vAlign w:val="top"/>
          </w:tcPr>
          <w:p w14:paraId="319B3DD7">
            <w:pPr>
              <w:pStyle w:val="7"/>
              <w:spacing w:before="129" w:line="407" w:lineRule="auto"/>
              <w:ind w:left="110" w:right="104" w:firstLine="2"/>
              <w:jc w:val="both"/>
            </w:pPr>
            <w:r>
              <w:rPr>
                <w:spacing w:val="8"/>
              </w:rPr>
              <w:t>6.评审小组认为参评人的报价明显低于其他通过符合性审查参评人的报价，有可能影</w:t>
            </w:r>
            <w:r>
              <w:rPr>
                <w:spacing w:val="9"/>
              </w:rPr>
              <w:t>响产品质量或者不能诚信履约的，参评人不能在合理的时间内提</w:t>
            </w:r>
            <w:r>
              <w:rPr>
                <w:spacing w:val="8"/>
              </w:rPr>
              <w:t>供书面说明，或无法</w:t>
            </w:r>
            <w:r>
              <w:rPr>
                <w:spacing w:val="9"/>
              </w:rPr>
              <w:t>提交相关证明材料，参评人不能证明其报价合理性的（若评审小</w:t>
            </w:r>
            <w:r>
              <w:rPr>
                <w:spacing w:val="8"/>
              </w:rPr>
              <w:t>组成员对是否须由参</w:t>
            </w:r>
            <w:r>
              <w:rPr>
                <w:spacing w:val="9"/>
              </w:rPr>
              <w:t>评人作出报价合理性说明，以及书面说明是否采纳等判断不</w:t>
            </w:r>
            <w:r>
              <w:rPr>
                <w:spacing w:val="8"/>
              </w:rPr>
              <w:t>一致的，按照“少数服从</w:t>
            </w:r>
            <w:r>
              <w:rPr>
                <w:spacing w:val="6"/>
              </w:rPr>
              <w:t>多数</w:t>
            </w:r>
            <w:r>
              <w:rPr>
                <w:spacing w:val="-64"/>
              </w:rPr>
              <w:t xml:space="preserve"> </w:t>
            </w:r>
            <w:r>
              <w:rPr>
                <w:spacing w:val="6"/>
              </w:rPr>
              <w:t>”的原则确定评审小组的意见）。</w:t>
            </w:r>
          </w:p>
        </w:tc>
      </w:tr>
      <w:tr w14:paraId="037A3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730" w:type="dxa"/>
            <w:vMerge w:val="continue"/>
            <w:tcBorders>
              <w:top w:val="nil"/>
              <w:left w:val="single" w:color="000000" w:sz="2" w:space="0"/>
              <w:bottom w:val="nil"/>
            </w:tcBorders>
            <w:vAlign w:val="top"/>
          </w:tcPr>
          <w:p w14:paraId="737E68B8">
            <w:pPr>
              <w:rPr>
                <w:rFonts w:ascii="Arial"/>
                <w:sz w:val="21"/>
              </w:rPr>
            </w:pPr>
          </w:p>
        </w:tc>
        <w:tc>
          <w:tcPr>
            <w:tcW w:w="7948" w:type="dxa"/>
            <w:tcBorders>
              <w:right w:val="single" w:color="000000" w:sz="2" w:space="0"/>
            </w:tcBorders>
            <w:vAlign w:val="top"/>
          </w:tcPr>
          <w:p w14:paraId="39FCD935">
            <w:pPr>
              <w:pStyle w:val="7"/>
              <w:spacing w:before="133" w:line="227" w:lineRule="auto"/>
              <w:ind w:left="115"/>
            </w:pPr>
            <w:r>
              <w:rPr>
                <w:spacing w:val="9"/>
              </w:rPr>
              <w:t>7.参评文件载明的采购项目完成或服务期限不满足遴</w:t>
            </w:r>
            <w:r>
              <w:rPr>
                <w:spacing w:val="8"/>
              </w:rPr>
              <w:t>选文件规定的。</w:t>
            </w:r>
          </w:p>
        </w:tc>
      </w:tr>
      <w:tr w14:paraId="1A776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730" w:type="dxa"/>
            <w:vMerge w:val="continue"/>
            <w:tcBorders>
              <w:top w:val="nil"/>
              <w:left w:val="single" w:color="000000" w:sz="2" w:space="0"/>
              <w:bottom w:val="single" w:color="000000" w:sz="2" w:space="0"/>
            </w:tcBorders>
            <w:vAlign w:val="top"/>
          </w:tcPr>
          <w:p w14:paraId="2C1CA543">
            <w:pPr>
              <w:rPr>
                <w:rFonts w:ascii="Arial"/>
                <w:sz w:val="21"/>
              </w:rPr>
            </w:pPr>
          </w:p>
        </w:tc>
        <w:tc>
          <w:tcPr>
            <w:tcW w:w="7948" w:type="dxa"/>
            <w:tcBorders>
              <w:bottom w:val="single" w:color="000000" w:sz="2" w:space="0"/>
              <w:right w:val="single" w:color="000000" w:sz="2" w:space="0"/>
            </w:tcBorders>
            <w:vAlign w:val="top"/>
          </w:tcPr>
          <w:p w14:paraId="2C2DAE61">
            <w:pPr>
              <w:pStyle w:val="7"/>
              <w:spacing w:before="168" w:line="227" w:lineRule="auto"/>
              <w:ind w:left="111"/>
            </w:pPr>
            <w:r>
              <w:rPr>
                <w:spacing w:val="8"/>
              </w:rPr>
              <w:t>8.未按遴选文件附件所提供的样式和要求完整填写“资格声明函及参评函</w:t>
            </w:r>
            <w:r>
              <w:rPr>
                <w:spacing w:val="-61"/>
              </w:rPr>
              <w:t xml:space="preserve"> </w:t>
            </w:r>
            <w:r>
              <w:rPr>
                <w:spacing w:val="8"/>
              </w:rPr>
              <w:t>”的。</w:t>
            </w:r>
          </w:p>
        </w:tc>
      </w:tr>
      <w:tr w14:paraId="7C82C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730" w:type="dxa"/>
            <w:vMerge w:val="restart"/>
            <w:tcBorders>
              <w:top w:val="single" w:color="000000" w:sz="2" w:space="0"/>
              <w:left w:val="single" w:color="000000" w:sz="2" w:space="0"/>
              <w:bottom w:val="nil"/>
            </w:tcBorders>
            <w:vAlign w:val="top"/>
          </w:tcPr>
          <w:p w14:paraId="3B6FE200">
            <w:pPr>
              <w:rPr>
                <w:rFonts w:ascii="Arial"/>
                <w:sz w:val="21"/>
              </w:rPr>
            </w:pPr>
          </w:p>
        </w:tc>
        <w:tc>
          <w:tcPr>
            <w:tcW w:w="7948" w:type="dxa"/>
            <w:tcBorders>
              <w:top w:val="single" w:color="000000" w:sz="2" w:space="0"/>
              <w:right w:val="single" w:color="000000" w:sz="2" w:space="0"/>
            </w:tcBorders>
            <w:vAlign w:val="top"/>
          </w:tcPr>
          <w:p w14:paraId="747BAE32">
            <w:pPr>
              <w:pStyle w:val="7"/>
              <w:spacing w:before="139" w:line="227" w:lineRule="auto"/>
              <w:ind w:left="111"/>
            </w:pPr>
            <w:r>
              <w:rPr>
                <w:spacing w:val="8"/>
              </w:rPr>
              <w:t>9.未按遴选文件要求填写《采购需求响应一览表》。</w:t>
            </w:r>
          </w:p>
        </w:tc>
      </w:tr>
      <w:tr w14:paraId="620D2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730" w:type="dxa"/>
            <w:vMerge w:val="continue"/>
            <w:tcBorders>
              <w:top w:val="nil"/>
              <w:left w:val="single" w:color="000000" w:sz="2" w:space="0"/>
              <w:bottom w:val="nil"/>
            </w:tcBorders>
            <w:vAlign w:val="top"/>
          </w:tcPr>
          <w:p w14:paraId="355136E5">
            <w:pPr>
              <w:rPr>
                <w:rFonts w:ascii="Arial"/>
                <w:sz w:val="21"/>
              </w:rPr>
            </w:pPr>
          </w:p>
        </w:tc>
        <w:tc>
          <w:tcPr>
            <w:tcW w:w="7948" w:type="dxa"/>
            <w:tcBorders>
              <w:right w:val="single" w:color="000000" w:sz="2" w:space="0"/>
            </w:tcBorders>
            <w:vAlign w:val="top"/>
          </w:tcPr>
          <w:p w14:paraId="1B6F9629">
            <w:pPr>
              <w:pStyle w:val="7"/>
              <w:spacing w:before="127" w:line="227" w:lineRule="auto"/>
              <w:ind w:left="126"/>
            </w:pPr>
            <w:r>
              <w:rPr>
                <w:spacing w:val="8"/>
              </w:rPr>
              <w:t>10.实质性响应指标（综合遴选文件中标注★的条款）满足采购人要求。</w:t>
            </w:r>
          </w:p>
        </w:tc>
      </w:tr>
      <w:tr w14:paraId="459C2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730" w:type="dxa"/>
            <w:vMerge w:val="continue"/>
            <w:tcBorders>
              <w:top w:val="nil"/>
              <w:left w:val="single" w:color="000000" w:sz="2" w:space="0"/>
              <w:bottom w:val="nil"/>
            </w:tcBorders>
            <w:vAlign w:val="top"/>
          </w:tcPr>
          <w:p w14:paraId="6EC081FF">
            <w:pPr>
              <w:rPr>
                <w:rFonts w:ascii="Arial"/>
                <w:sz w:val="21"/>
              </w:rPr>
            </w:pPr>
          </w:p>
        </w:tc>
        <w:tc>
          <w:tcPr>
            <w:tcW w:w="7948" w:type="dxa"/>
            <w:tcBorders>
              <w:right w:val="single" w:color="000000" w:sz="2" w:space="0"/>
            </w:tcBorders>
            <w:vAlign w:val="top"/>
          </w:tcPr>
          <w:p w14:paraId="702539AD">
            <w:pPr>
              <w:pStyle w:val="7"/>
              <w:spacing w:before="130" w:line="226" w:lineRule="auto"/>
              <w:ind w:left="126"/>
            </w:pPr>
            <w:r>
              <w:rPr>
                <w:spacing w:val="6"/>
              </w:rPr>
              <w:t>11.参评报价有严重缺漏项目。</w:t>
            </w:r>
          </w:p>
        </w:tc>
      </w:tr>
      <w:tr w14:paraId="2DCC9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730" w:type="dxa"/>
            <w:vMerge w:val="continue"/>
            <w:tcBorders>
              <w:top w:val="nil"/>
              <w:left w:val="single" w:color="000000" w:sz="2" w:space="0"/>
            </w:tcBorders>
            <w:vAlign w:val="top"/>
          </w:tcPr>
          <w:p w14:paraId="1213348E">
            <w:pPr>
              <w:rPr>
                <w:rFonts w:ascii="Arial"/>
                <w:sz w:val="21"/>
              </w:rPr>
            </w:pPr>
          </w:p>
        </w:tc>
        <w:tc>
          <w:tcPr>
            <w:tcW w:w="7948" w:type="dxa"/>
            <w:tcBorders>
              <w:right w:val="single" w:color="000000" w:sz="2" w:space="0"/>
            </w:tcBorders>
            <w:vAlign w:val="top"/>
          </w:tcPr>
          <w:p w14:paraId="13163D7E">
            <w:pPr>
              <w:pStyle w:val="7"/>
              <w:spacing w:before="130" w:line="227" w:lineRule="auto"/>
              <w:ind w:left="126"/>
            </w:pPr>
            <w:r>
              <w:rPr>
                <w:spacing w:val="8"/>
              </w:rPr>
              <w:t>12.参考有关</w:t>
            </w:r>
            <w:r>
              <w:rPr>
                <w:rFonts w:hint="eastAsia"/>
                <w:spacing w:val="8"/>
                <w:lang w:eastAsia="zh-CN"/>
              </w:rPr>
              <w:t>法律法规</w:t>
            </w:r>
            <w:r>
              <w:rPr>
                <w:spacing w:val="8"/>
              </w:rPr>
              <w:t>、规章、规范性文件或遴选文件规定的其他情形。</w:t>
            </w:r>
          </w:p>
        </w:tc>
      </w:tr>
      <w:tr w14:paraId="70DFC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730" w:type="dxa"/>
            <w:tcBorders>
              <w:left w:val="single" w:color="000000" w:sz="2" w:space="0"/>
              <w:bottom w:val="single" w:color="000000" w:sz="2" w:space="0"/>
            </w:tcBorders>
            <w:vAlign w:val="top"/>
          </w:tcPr>
          <w:p w14:paraId="7B247C84">
            <w:pPr>
              <w:spacing w:line="299" w:lineRule="auto"/>
              <w:rPr>
                <w:rFonts w:ascii="Arial"/>
                <w:sz w:val="21"/>
              </w:rPr>
            </w:pPr>
          </w:p>
          <w:p w14:paraId="51667146">
            <w:pPr>
              <w:pStyle w:val="7"/>
              <w:spacing w:before="65" w:line="229" w:lineRule="auto"/>
              <w:ind w:left="665"/>
            </w:pPr>
            <w:r>
              <w:rPr>
                <w:spacing w:val="2"/>
              </w:rPr>
              <w:t>结论</w:t>
            </w:r>
          </w:p>
        </w:tc>
        <w:tc>
          <w:tcPr>
            <w:tcW w:w="7948" w:type="dxa"/>
            <w:tcBorders>
              <w:bottom w:val="single" w:color="000000" w:sz="2" w:space="0"/>
              <w:right w:val="single" w:color="000000" w:sz="2" w:space="0"/>
            </w:tcBorders>
            <w:vAlign w:val="top"/>
          </w:tcPr>
          <w:p w14:paraId="15A6D206">
            <w:pPr>
              <w:pStyle w:val="7"/>
              <w:spacing w:before="131" w:line="228" w:lineRule="auto"/>
              <w:ind w:left="114"/>
            </w:pPr>
            <w:r>
              <w:rPr>
                <w:spacing w:val="8"/>
              </w:rPr>
              <w:t>是否通过进入下一阶段评议。</w:t>
            </w:r>
          </w:p>
          <w:p w14:paraId="42A86A6A">
            <w:pPr>
              <w:pStyle w:val="7"/>
              <w:spacing w:before="220" w:line="230" w:lineRule="auto"/>
              <w:ind w:left="120"/>
            </w:pPr>
            <w:r>
              <w:rPr>
                <w:spacing w:val="5"/>
              </w:rPr>
              <w:t>（写“通过</w:t>
            </w:r>
            <w:r>
              <w:rPr>
                <w:spacing w:val="-62"/>
              </w:rPr>
              <w:t xml:space="preserve"> </w:t>
            </w:r>
            <w:r>
              <w:rPr>
                <w:spacing w:val="5"/>
              </w:rPr>
              <w:t>”或“不通过</w:t>
            </w:r>
            <w:r>
              <w:rPr>
                <w:spacing w:val="-72"/>
              </w:rPr>
              <w:t xml:space="preserve"> </w:t>
            </w:r>
            <w:r>
              <w:rPr>
                <w:spacing w:val="5"/>
              </w:rPr>
              <w:t>”）</w:t>
            </w:r>
          </w:p>
        </w:tc>
      </w:tr>
    </w:tbl>
    <w:p w14:paraId="14AB0F5C">
      <w:pPr>
        <w:pStyle w:val="3"/>
        <w:spacing w:before="129" w:line="227" w:lineRule="auto"/>
        <w:ind w:left="651"/>
        <w:rPr>
          <w:sz w:val="20"/>
          <w:szCs w:val="20"/>
        </w:rPr>
      </w:pPr>
      <w:r>
        <w:rPr>
          <w:rFonts w:hint="eastAsia"/>
          <w:spacing w:val="9"/>
          <w:sz w:val="20"/>
          <w:szCs w:val="20"/>
          <w:lang w:eastAsia="zh-CN"/>
        </w:rPr>
        <w:t>1.</w:t>
      </w:r>
      <w:r>
        <w:rPr>
          <w:spacing w:val="9"/>
          <w:sz w:val="20"/>
          <w:szCs w:val="20"/>
        </w:rPr>
        <w:t>只有通过资格、符合性评审的参评人才能进入详细的评审，即为入围参</w:t>
      </w:r>
      <w:r>
        <w:rPr>
          <w:spacing w:val="8"/>
          <w:sz w:val="20"/>
          <w:szCs w:val="20"/>
        </w:rPr>
        <w:t>评人；</w:t>
      </w:r>
    </w:p>
    <w:p w14:paraId="2D502D87">
      <w:pPr>
        <w:pStyle w:val="3"/>
        <w:spacing w:before="222" w:line="432" w:lineRule="auto"/>
        <w:ind w:left="218" w:right="2" w:firstLine="420"/>
        <w:rPr>
          <w:sz w:val="20"/>
          <w:szCs w:val="20"/>
        </w:rPr>
      </w:pPr>
      <w:r>
        <w:rPr>
          <w:rFonts w:hint="eastAsia"/>
          <w:spacing w:val="5"/>
          <w:sz w:val="20"/>
          <w:szCs w:val="20"/>
          <w:lang w:eastAsia="zh-CN"/>
        </w:rPr>
        <w:t>2.</w:t>
      </w:r>
      <w:r>
        <w:rPr>
          <w:spacing w:val="5"/>
          <w:sz w:val="20"/>
          <w:szCs w:val="20"/>
        </w:rPr>
        <w:t>每一项目通过的打“</w:t>
      </w:r>
      <w:r>
        <w:rPr>
          <w:spacing w:val="-58"/>
          <w:sz w:val="20"/>
          <w:szCs w:val="20"/>
        </w:rPr>
        <w:t xml:space="preserve"> </w:t>
      </w:r>
      <w:r>
        <w:rPr>
          <w:spacing w:val="5"/>
          <w:sz w:val="20"/>
          <w:szCs w:val="20"/>
        </w:rPr>
        <w:t>○</w:t>
      </w:r>
      <w:r>
        <w:rPr>
          <w:spacing w:val="-67"/>
          <w:sz w:val="20"/>
          <w:szCs w:val="20"/>
        </w:rPr>
        <w:t xml:space="preserve"> </w:t>
      </w:r>
      <w:r>
        <w:rPr>
          <w:spacing w:val="5"/>
          <w:sz w:val="20"/>
          <w:szCs w:val="20"/>
        </w:rPr>
        <w:t>”</w:t>
      </w:r>
      <w:r>
        <w:rPr>
          <w:rFonts w:hint="eastAsia"/>
          <w:spacing w:val="5"/>
          <w:sz w:val="20"/>
          <w:szCs w:val="20"/>
          <w:lang w:eastAsia="zh-CN"/>
        </w:rPr>
        <w:t>，</w:t>
      </w:r>
      <w:r>
        <w:rPr>
          <w:spacing w:val="65"/>
          <w:sz w:val="20"/>
          <w:szCs w:val="20"/>
        </w:rPr>
        <w:t xml:space="preserve"> </w:t>
      </w:r>
      <w:r>
        <w:rPr>
          <w:spacing w:val="5"/>
          <w:sz w:val="20"/>
          <w:szCs w:val="20"/>
        </w:rPr>
        <w:t>不通过的打“</w:t>
      </w:r>
      <w:r>
        <w:rPr>
          <w:spacing w:val="-61"/>
          <w:sz w:val="20"/>
          <w:szCs w:val="20"/>
        </w:rPr>
        <w:t xml:space="preserve"> </w:t>
      </w:r>
      <w:r>
        <w:rPr>
          <w:spacing w:val="5"/>
          <w:sz w:val="20"/>
          <w:szCs w:val="20"/>
        </w:rPr>
        <w:t>×</w:t>
      </w:r>
      <w:r>
        <w:rPr>
          <w:spacing w:val="-67"/>
          <w:sz w:val="20"/>
          <w:szCs w:val="20"/>
        </w:rPr>
        <w:t xml:space="preserve"> </w:t>
      </w:r>
      <w:r>
        <w:rPr>
          <w:spacing w:val="5"/>
          <w:sz w:val="20"/>
          <w:szCs w:val="20"/>
        </w:rPr>
        <w:t>”；出现一个“</w:t>
      </w:r>
      <w:r>
        <w:rPr>
          <w:spacing w:val="-60"/>
          <w:sz w:val="20"/>
          <w:szCs w:val="20"/>
        </w:rPr>
        <w:t xml:space="preserve"> </w:t>
      </w:r>
      <w:r>
        <w:rPr>
          <w:spacing w:val="5"/>
          <w:sz w:val="20"/>
          <w:szCs w:val="20"/>
        </w:rPr>
        <w:t>×</w:t>
      </w:r>
      <w:r>
        <w:rPr>
          <w:spacing w:val="-68"/>
          <w:sz w:val="20"/>
          <w:szCs w:val="20"/>
        </w:rPr>
        <w:t xml:space="preserve"> </w:t>
      </w:r>
      <w:r>
        <w:rPr>
          <w:spacing w:val="5"/>
          <w:sz w:val="20"/>
          <w:szCs w:val="20"/>
        </w:rPr>
        <w:t>”的结论为不通过进入下一阶段评</w:t>
      </w:r>
      <w:r>
        <w:rPr>
          <w:spacing w:val="-1"/>
          <w:sz w:val="20"/>
          <w:szCs w:val="20"/>
        </w:rPr>
        <w:t>议；</w:t>
      </w:r>
    </w:p>
    <w:p w14:paraId="5B4F2077">
      <w:pPr>
        <w:pStyle w:val="3"/>
        <w:spacing w:line="224" w:lineRule="auto"/>
        <w:ind w:left="640"/>
        <w:rPr>
          <w:sz w:val="20"/>
          <w:szCs w:val="20"/>
        </w:rPr>
      </w:pPr>
      <w:r>
        <w:rPr>
          <w:rFonts w:hint="eastAsia"/>
          <w:spacing w:val="8"/>
          <w:sz w:val="20"/>
          <w:szCs w:val="20"/>
          <w:lang w:eastAsia="zh-CN"/>
        </w:rPr>
        <w:t>3.</w:t>
      </w:r>
      <w:r>
        <w:rPr>
          <w:spacing w:val="8"/>
          <w:sz w:val="20"/>
          <w:szCs w:val="20"/>
        </w:rPr>
        <w:t>表中全部条件满足为通过</w:t>
      </w:r>
      <w:r>
        <w:rPr>
          <w:rFonts w:hint="eastAsia"/>
          <w:spacing w:val="8"/>
          <w:sz w:val="20"/>
          <w:szCs w:val="20"/>
          <w:lang w:eastAsia="zh-CN"/>
        </w:rPr>
        <w:t>，</w:t>
      </w:r>
      <w:r>
        <w:rPr>
          <w:spacing w:val="8"/>
          <w:sz w:val="20"/>
          <w:szCs w:val="20"/>
        </w:rPr>
        <w:t>同意进入下一阶段评议；</w:t>
      </w:r>
    </w:p>
    <w:p w14:paraId="517A4C74">
      <w:pPr>
        <w:pStyle w:val="3"/>
        <w:spacing w:before="224" w:line="228" w:lineRule="auto"/>
        <w:ind w:left="635"/>
        <w:rPr>
          <w:sz w:val="20"/>
          <w:szCs w:val="20"/>
        </w:rPr>
      </w:pPr>
      <w:r>
        <w:rPr>
          <w:rFonts w:hint="eastAsia"/>
          <w:spacing w:val="8"/>
          <w:sz w:val="20"/>
          <w:szCs w:val="20"/>
          <w:lang w:eastAsia="zh-CN"/>
        </w:rPr>
        <w:t>4.</w:t>
      </w:r>
      <w:r>
        <w:rPr>
          <w:spacing w:val="8"/>
          <w:sz w:val="20"/>
          <w:szCs w:val="20"/>
        </w:rPr>
        <w:t>是否同意进入下一阶段评议一栏中应写“通过</w:t>
      </w:r>
      <w:r>
        <w:rPr>
          <w:spacing w:val="-67"/>
          <w:sz w:val="20"/>
          <w:szCs w:val="20"/>
        </w:rPr>
        <w:t xml:space="preserve"> </w:t>
      </w:r>
      <w:r>
        <w:rPr>
          <w:spacing w:val="8"/>
          <w:sz w:val="20"/>
          <w:szCs w:val="20"/>
        </w:rPr>
        <w:t>”或“不通过</w:t>
      </w:r>
      <w:r>
        <w:rPr>
          <w:spacing w:val="-70"/>
          <w:sz w:val="20"/>
          <w:szCs w:val="20"/>
        </w:rPr>
        <w:t xml:space="preserve"> </w:t>
      </w:r>
      <w:r>
        <w:rPr>
          <w:spacing w:val="8"/>
          <w:sz w:val="20"/>
          <w:szCs w:val="20"/>
        </w:rPr>
        <w:t>”；</w:t>
      </w:r>
    </w:p>
    <w:p w14:paraId="1EE14577">
      <w:pPr>
        <w:pStyle w:val="3"/>
        <w:spacing w:before="221" w:line="227" w:lineRule="auto"/>
        <w:jc w:val="right"/>
        <w:rPr>
          <w:sz w:val="20"/>
          <w:szCs w:val="20"/>
        </w:rPr>
      </w:pPr>
      <w:r>
        <w:rPr>
          <w:rFonts w:hint="eastAsia"/>
          <w:spacing w:val="11"/>
          <w:sz w:val="20"/>
          <w:szCs w:val="20"/>
          <w:lang w:eastAsia="zh-CN"/>
        </w:rPr>
        <w:t>5.</w:t>
      </w:r>
      <w:r>
        <w:rPr>
          <w:spacing w:val="11"/>
          <w:sz w:val="20"/>
          <w:szCs w:val="20"/>
        </w:rPr>
        <w:t>结论汇总意见采取少数服从多数原则，即超过半数评委的结论为“通过</w:t>
      </w:r>
      <w:r>
        <w:rPr>
          <w:spacing w:val="-70"/>
          <w:sz w:val="20"/>
          <w:szCs w:val="20"/>
        </w:rPr>
        <w:t xml:space="preserve"> </w:t>
      </w:r>
      <w:r>
        <w:rPr>
          <w:spacing w:val="11"/>
          <w:sz w:val="20"/>
          <w:szCs w:val="20"/>
        </w:rPr>
        <w:t>”，</w:t>
      </w:r>
      <w:r>
        <w:rPr>
          <w:spacing w:val="10"/>
          <w:sz w:val="20"/>
          <w:szCs w:val="20"/>
        </w:rPr>
        <w:t>则该参评人通过资格</w:t>
      </w:r>
    </w:p>
    <w:p w14:paraId="644BFC76">
      <w:pPr>
        <w:pStyle w:val="3"/>
        <w:spacing w:before="221" w:line="228" w:lineRule="auto"/>
        <w:ind w:left="227"/>
        <w:outlineLvl w:val="2"/>
        <w:rPr>
          <w:sz w:val="20"/>
          <w:szCs w:val="20"/>
        </w:rPr>
      </w:pPr>
      <w:r>
        <w:rPr>
          <w:spacing w:val="7"/>
          <w:sz w:val="20"/>
          <w:szCs w:val="20"/>
        </w:rPr>
        <w:t>审查及符合性检查，否则不通过。</w:t>
      </w:r>
    </w:p>
    <w:p w14:paraId="207C3CE0">
      <w:pPr>
        <w:spacing w:line="228" w:lineRule="auto"/>
        <w:rPr>
          <w:sz w:val="20"/>
          <w:szCs w:val="20"/>
        </w:rPr>
        <w:sectPr>
          <w:headerReference r:id="rId9" w:type="default"/>
          <w:footerReference r:id="rId10" w:type="default"/>
          <w:pgSz w:w="11906" w:h="16839"/>
          <w:pgMar w:top="1087" w:right="1134" w:bottom="1065" w:left="924" w:header="810" w:footer="903" w:gutter="0"/>
          <w:cols w:space="720" w:num="1"/>
        </w:sectPr>
      </w:pPr>
    </w:p>
    <w:p w14:paraId="55F0D9C1">
      <w:pPr>
        <w:pStyle w:val="3"/>
        <w:spacing w:before="217" w:line="221" w:lineRule="auto"/>
        <w:ind w:left="4574"/>
        <w:rPr>
          <w:sz w:val="28"/>
          <w:szCs w:val="28"/>
        </w:rPr>
      </w:pPr>
      <w:r>
        <w:rPr>
          <w:b/>
          <w:bCs/>
          <w:spacing w:val="-6"/>
          <w:sz w:val="28"/>
          <w:szCs w:val="28"/>
        </w:rPr>
        <w:t>项目评分表</w:t>
      </w:r>
    </w:p>
    <w:p w14:paraId="18ABDA90">
      <w:pPr>
        <w:spacing w:line="118" w:lineRule="exact"/>
      </w:pPr>
    </w:p>
    <w:tbl>
      <w:tblPr>
        <w:tblStyle w:val="8"/>
        <w:tblW w:w="10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1394"/>
        <w:gridCol w:w="1056"/>
        <w:gridCol w:w="6655"/>
      </w:tblGrid>
      <w:tr w14:paraId="48C50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415" w:type="dxa"/>
            <w:vAlign w:val="top"/>
          </w:tcPr>
          <w:p w14:paraId="5C07BF55">
            <w:pPr>
              <w:pStyle w:val="7"/>
              <w:spacing w:before="134" w:line="228" w:lineRule="auto"/>
              <w:ind w:left="500"/>
            </w:pPr>
            <w:r>
              <w:rPr>
                <w:b/>
                <w:bCs/>
                <w:spacing w:val="3"/>
              </w:rPr>
              <w:t>类别</w:t>
            </w:r>
          </w:p>
        </w:tc>
        <w:tc>
          <w:tcPr>
            <w:tcW w:w="1394" w:type="dxa"/>
            <w:vAlign w:val="top"/>
          </w:tcPr>
          <w:p w14:paraId="3A326816">
            <w:pPr>
              <w:pStyle w:val="7"/>
              <w:spacing w:before="134" w:line="228" w:lineRule="auto"/>
              <w:ind w:left="277"/>
            </w:pPr>
            <w:r>
              <w:rPr>
                <w:b/>
                <w:bCs/>
                <w:spacing w:val="6"/>
              </w:rPr>
              <w:t>评分项目</w:t>
            </w:r>
          </w:p>
        </w:tc>
        <w:tc>
          <w:tcPr>
            <w:tcW w:w="1056" w:type="dxa"/>
            <w:vAlign w:val="top"/>
          </w:tcPr>
          <w:p w14:paraId="0F8CF77E">
            <w:pPr>
              <w:pStyle w:val="7"/>
              <w:spacing w:before="134" w:line="228" w:lineRule="auto"/>
              <w:ind w:left="324"/>
            </w:pPr>
            <w:r>
              <w:rPr>
                <w:b/>
                <w:bCs/>
                <w:spacing w:val="2"/>
              </w:rPr>
              <w:t>分值</w:t>
            </w:r>
          </w:p>
        </w:tc>
        <w:tc>
          <w:tcPr>
            <w:tcW w:w="6655" w:type="dxa"/>
            <w:vAlign w:val="top"/>
          </w:tcPr>
          <w:p w14:paraId="5699F4E3">
            <w:pPr>
              <w:pStyle w:val="7"/>
              <w:spacing w:before="134" w:line="228" w:lineRule="auto"/>
              <w:ind w:left="2911"/>
            </w:pPr>
            <w:r>
              <w:rPr>
                <w:b/>
                <w:bCs/>
                <w:spacing w:val="6"/>
              </w:rPr>
              <w:t>评分范围</w:t>
            </w:r>
          </w:p>
        </w:tc>
      </w:tr>
      <w:tr w14:paraId="13C31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4" w:hRule="atLeast"/>
        </w:trPr>
        <w:tc>
          <w:tcPr>
            <w:tcW w:w="1415" w:type="dxa"/>
            <w:vAlign w:val="top"/>
          </w:tcPr>
          <w:p w14:paraId="5E2081CC">
            <w:pPr>
              <w:spacing w:line="254" w:lineRule="auto"/>
              <w:rPr>
                <w:rFonts w:ascii="Arial"/>
                <w:sz w:val="21"/>
              </w:rPr>
            </w:pPr>
          </w:p>
          <w:p w14:paraId="5B173594">
            <w:pPr>
              <w:spacing w:line="254" w:lineRule="auto"/>
              <w:rPr>
                <w:rFonts w:ascii="Arial"/>
                <w:sz w:val="21"/>
              </w:rPr>
            </w:pPr>
          </w:p>
          <w:p w14:paraId="5068A5F3">
            <w:pPr>
              <w:spacing w:line="255" w:lineRule="auto"/>
              <w:rPr>
                <w:rFonts w:ascii="Arial"/>
                <w:sz w:val="21"/>
              </w:rPr>
            </w:pPr>
          </w:p>
          <w:p w14:paraId="229C4310">
            <w:pPr>
              <w:pStyle w:val="7"/>
              <w:spacing w:before="65" w:line="434" w:lineRule="auto"/>
              <w:ind w:left="275" w:right="277" w:firstLine="17"/>
            </w:pPr>
            <w:r>
              <w:rPr>
                <w:spacing w:val="7"/>
              </w:rPr>
              <w:t>价格评分</w:t>
            </w:r>
            <w:r>
              <w:rPr>
                <w:spacing w:val="-2"/>
              </w:rPr>
              <w:t>（10</w:t>
            </w:r>
            <w:r>
              <w:rPr>
                <w:spacing w:val="-35"/>
              </w:rPr>
              <w:t xml:space="preserve"> </w:t>
            </w:r>
            <w:r>
              <w:rPr>
                <w:spacing w:val="-2"/>
              </w:rPr>
              <w:t>分）</w:t>
            </w:r>
          </w:p>
        </w:tc>
        <w:tc>
          <w:tcPr>
            <w:tcW w:w="1394" w:type="dxa"/>
            <w:vAlign w:val="top"/>
          </w:tcPr>
          <w:p w14:paraId="51A52D86">
            <w:pPr>
              <w:spacing w:line="248" w:lineRule="auto"/>
              <w:rPr>
                <w:rFonts w:ascii="Arial"/>
                <w:sz w:val="21"/>
              </w:rPr>
            </w:pPr>
          </w:p>
          <w:p w14:paraId="4B465380">
            <w:pPr>
              <w:spacing w:line="249" w:lineRule="auto"/>
              <w:rPr>
                <w:rFonts w:ascii="Arial"/>
                <w:sz w:val="21"/>
              </w:rPr>
            </w:pPr>
          </w:p>
          <w:p w14:paraId="02B9CEE1">
            <w:pPr>
              <w:spacing w:line="249" w:lineRule="auto"/>
              <w:rPr>
                <w:rFonts w:ascii="Arial"/>
                <w:sz w:val="21"/>
              </w:rPr>
            </w:pPr>
          </w:p>
          <w:p w14:paraId="1EA1F2A6">
            <w:pPr>
              <w:spacing w:line="249" w:lineRule="auto"/>
              <w:rPr>
                <w:rFonts w:ascii="Arial"/>
                <w:sz w:val="21"/>
              </w:rPr>
            </w:pPr>
          </w:p>
          <w:p w14:paraId="29ECDC3E">
            <w:pPr>
              <w:pStyle w:val="7"/>
              <w:spacing w:before="65" w:line="226" w:lineRule="auto"/>
              <w:ind w:left="282"/>
            </w:pPr>
            <w:r>
              <w:rPr>
                <w:spacing w:val="6"/>
              </w:rPr>
              <w:t>参评报价</w:t>
            </w:r>
          </w:p>
        </w:tc>
        <w:tc>
          <w:tcPr>
            <w:tcW w:w="1056" w:type="dxa"/>
            <w:vAlign w:val="top"/>
          </w:tcPr>
          <w:p w14:paraId="24E07647">
            <w:pPr>
              <w:spacing w:line="248" w:lineRule="auto"/>
              <w:rPr>
                <w:rFonts w:ascii="Arial"/>
                <w:sz w:val="21"/>
              </w:rPr>
            </w:pPr>
          </w:p>
          <w:p w14:paraId="2843B3E5">
            <w:pPr>
              <w:spacing w:line="249" w:lineRule="auto"/>
              <w:rPr>
                <w:rFonts w:ascii="Arial"/>
                <w:sz w:val="21"/>
              </w:rPr>
            </w:pPr>
          </w:p>
          <w:p w14:paraId="572E8530">
            <w:pPr>
              <w:spacing w:line="249" w:lineRule="auto"/>
              <w:rPr>
                <w:rFonts w:ascii="Arial"/>
                <w:sz w:val="21"/>
              </w:rPr>
            </w:pPr>
          </w:p>
          <w:p w14:paraId="6E323C7C">
            <w:pPr>
              <w:spacing w:line="249" w:lineRule="auto"/>
              <w:rPr>
                <w:rFonts w:ascii="Arial"/>
                <w:sz w:val="21"/>
              </w:rPr>
            </w:pPr>
          </w:p>
          <w:p w14:paraId="5F9F11DE">
            <w:pPr>
              <w:pStyle w:val="7"/>
              <w:spacing w:before="65" w:line="228" w:lineRule="auto"/>
              <w:ind w:left="311"/>
            </w:pPr>
            <w:r>
              <w:rPr>
                <w:spacing w:val="-5"/>
              </w:rPr>
              <w:t>10</w:t>
            </w:r>
            <w:r>
              <w:rPr>
                <w:spacing w:val="-35"/>
              </w:rPr>
              <w:t xml:space="preserve"> </w:t>
            </w:r>
            <w:r>
              <w:rPr>
                <w:spacing w:val="-5"/>
              </w:rPr>
              <w:t>分</w:t>
            </w:r>
          </w:p>
        </w:tc>
        <w:tc>
          <w:tcPr>
            <w:tcW w:w="6655" w:type="dxa"/>
            <w:vAlign w:val="top"/>
          </w:tcPr>
          <w:p w14:paraId="26AF4DB0">
            <w:pPr>
              <w:pStyle w:val="7"/>
              <w:spacing w:before="130" w:line="432" w:lineRule="auto"/>
              <w:ind w:left="112" w:right="107"/>
            </w:pPr>
            <w:r>
              <w:rPr>
                <w:spacing w:val="7"/>
              </w:rPr>
              <w:t>采用低价优先法计算，即满足招标文件要求且参评价格（参评单价）最</w:t>
            </w:r>
            <w:r>
              <w:rPr>
                <w:spacing w:val="9"/>
              </w:rPr>
              <w:t>低的参评报价为评标基准价，其价格分为满分。</w:t>
            </w:r>
          </w:p>
          <w:p w14:paraId="2AEAAAE4">
            <w:pPr>
              <w:pStyle w:val="7"/>
              <w:spacing w:before="2" w:line="431" w:lineRule="auto"/>
              <w:ind w:left="111" w:right="2608" w:firstLine="2"/>
            </w:pPr>
            <w:r>
              <w:rPr>
                <w:spacing w:val="6"/>
              </w:rPr>
              <w:t>其他投标单位的价格分按照下列公式计算：</w:t>
            </w:r>
            <w:r>
              <w:rPr>
                <w:spacing w:val="5"/>
              </w:rPr>
              <w:t>报价得分=（评标基准价/投标价格）</w:t>
            </w:r>
            <w:r>
              <w:rPr>
                <w:spacing w:val="-52"/>
              </w:rPr>
              <w:t xml:space="preserve"> </w:t>
            </w:r>
            <w:r>
              <w:rPr>
                <w:spacing w:val="5"/>
              </w:rPr>
              <w:t>×</w:t>
            </w:r>
            <w:r>
              <w:rPr>
                <w:spacing w:val="-75"/>
              </w:rPr>
              <w:t xml:space="preserve"> </w:t>
            </w:r>
            <w:r>
              <w:rPr>
                <w:spacing w:val="5"/>
              </w:rPr>
              <w:t>10</w:t>
            </w:r>
          </w:p>
          <w:p w14:paraId="51EB1ACB">
            <w:pPr>
              <w:pStyle w:val="7"/>
              <w:spacing w:line="226" w:lineRule="auto"/>
              <w:ind w:left="113"/>
            </w:pPr>
            <w:r>
              <w:rPr>
                <w:color w:val="FF0000"/>
                <w:spacing w:val="9"/>
              </w:rPr>
              <w:t>注：本项目为专门面向中小企业的项目，不进行价格优惠扣除。</w:t>
            </w:r>
          </w:p>
        </w:tc>
      </w:tr>
      <w:tr w14:paraId="12F69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6" w:hRule="atLeast"/>
        </w:trPr>
        <w:tc>
          <w:tcPr>
            <w:tcW w:w="1415" w:type="dxa"/>
            <w:vMerge w:val="restart"/>
            <w:tcBorders>
              <w:bottom w:val="nil"/>
            </w:tcBorders>
            <w:vAlign w:val="top"/>
          </w:tcPr>
          <w:p w14:paraId="79424CDE">
            <w:pPr>
              <w:spacing w:line="247" w:lineRule="auto"/>
              <w:rPr>
                <w:rFonts w:ascii="Arial"/>
                <w:sz w:val="21"/>
              </w:rPr>
            </w:pPr>
          </w:p>
          <w:p w14:paraId="685EF666">
            <w:pPr>
              <w:spacing w:line="247" w:lineRule="auto"/>
              <w:rPr>
                <w:rFonts w:ascii="Arial"/>
                <w:sz w:val="21"/>
              </w:rPr>
            </w:pPr>
          </w:p>
          <w:p w14:paraId="64BC5706">
            <w:pPr>
              <w:spacing w:line="247" w:lineRule="auto"/>
              <w:rPr>
                <w:rFonts w:ascii="Arial"/>
                <w:sz w:val="21"/>
              </w:rPr>
            </w:pPr>
          </w:p>
          <w:p w14:paraId="1B38E6DF">
            <w:pPr>
              <w:spacing w:line="247" w:lineRule="auto"/>
              <w:rPr>
                <w:rFonts w:ascii="Arial"/>
                <w:sz w:val="21"/>
              </w:rPr>
            </w:pPr>
          </w:p>
          <w:p w14:paraId="53D89D6B">
            <w:pPr>
              <w:spacing w:line="247" w:lineRule="auto"/>
              <w:rPr>
                <w:rFonts w:ascii="Arial"/>
                <w:sz w:val="21"/>
              </w:rPr>
            </w:pPr>
          </w:p>
          <w:p w14:paraId="61742D1B">
            <w:pPr>
              <w:spacing w:line="247" w:lineRule="auto"/>
              <w:rPr>
                <w:rFonts w:ascii="Arial"/>
                <w:sz w:val="21"/>
              </w:rPr>
            </w:pPr>
          </w:p>
          <w:p w14:paraId="25703B87">
            <w:pPr>
              <w:spacing w:line="248" w:lineRule="auto"/>
              <w:rPr>
                <w:rFonts w:ascii="Arial"/>
                <w:sz w:val="21"/>
              </w:rPr>
            </w:pPr>
          </w:p>
          <w:p w14:paraId="32D0DCCC">
            <w:pPr>
              <w:spacing w:line="248" w:lineRule="auto"/>
              <w:rPr>
                <w:rFonts w:ascii="Arial"/>
                <w:sz w:val="21"/>
              </w:rPr>
            </w:pPr>
          </w:p>
          <w:p w14:paraId="0D255478">
            <w:pPr>
              <w:spacing w:line="248" w:lineRule="auto"/>
              <w:rPr>
                <w:rFonts w:ascii="Arial"/>
                <w:sz w:val="21"/>
              </w:rPr>
            </w:pPr>
          </w:p>
          <w:p w14:paraId="7AB93FEC">
            <w:pPr>
              <w:spacing w:line="248" w:lineRule="auto"/>
              <w:rPr>
                <w:rFonts w:ascii="Arial"/>
                <w:sz w:val="21"/>
              </w:rPr>
            </w:pPr>
          </w:p>
          <w:p w14:paraId="25047445">
            <w:pPr>
              <w:spacing w:line="248" w:lineRule="auto"/>
              <w:rPr>
                <w:rFonts w:ascii="Arial"/>
                <w:sz w:val="21"/>
              </w:rPr>
            </w:pPr>
          </w:p>
          <w:p w14:paraId="0F3C83A0">
            <w:pPr>
              <w:spacing w:line="248" w:lineRule="auto"/>
              <w:rPr>
                <w:rFonts w:ascii="Arial"/>
                <w:sz w:val="21"/>
              </w:rPr>
            </w:pPr>
          </w:p>
          <w:p w14:paraId="77203297">
            <w:pPr>
              <w:spacing w:line="248" w:lineRule="auto"/>
              <w:rPr>
                <w:rFonts w:ascii="Arial"/>
                <w:sz w:val="21"/>
              </w:rPr>
            </w:pPr>
          </w:p>
          <w:p w14:paraId="40B1BFC3">
            <w:pPr>
              <w:spacing w:line="248" w:lineRule="auto"/>
              <w:rPr>
                <w:rFonts w:ascii="Arial"/>
                <w:sz w:val="21"/>
              </w:rPr>
            </w:pPr>
          </w:p>
          <w:p w14:paraId="38C94999">
            <w:pPr>
              <w:spacing w:line="248" w:lineRule="auto"/>
              <w:rPr>
                <w:rFonts w:ascii="Arial"/>
                <w:sz w:val="21"/>
              </w:rPr>
            </w:pPr>
          </w:p>
          <w:p w14:paraId="449EF451">
            <w:pPr>
              <w:spacing w:line="248" w:lineRule="auto"/>
              <w:rPr>
                <w:rFonts w:ascii="Arial"/>
                <w:sz w:val="21"/>
              </w:rPr>
            </w:pPr>
          </w:p>
          <w:p w14:paraId="09F7B264">
            <w:pPr>
              <w:spacing w:line="248" w:lineRule="auto"/>
              <w:rPr>
                <w:rFonts w:ascii="Arial"/>
                <w:sz w:val="21"/>
              </w:rPr>
            </w:pPr>
          </w:p>
          <w:p w14:paraId="2A765D89">
            <w:pPr>
              <w:spacing w:line="248" w:lineRule="auto"/>
              <w:rPr>
                <w:rFonts w:ascii="Arial"/>
                <w:sz w:val="21"/>
              </w:rPr>
            </w:pPr>
          </w:p>
          <w:p w14:paraId="0B9661B9">
            <w:pPr>
              <w:spacing w:line="248" w:lineRule="auto"/>
              <w:rPr>
                <w:rFonts w:ascii="Arial"/>
                <w:sz w:val="21"/>
              </w:rPr>
            </w:pPr>
          </w:p>
          <w:p w14:paraId="01B5F6D0">
            <w:pPr>
              <w:spacing w:line="248" w:lineRule="auto"/>
              <w:rPr>
                <w:rFonts w:ascii="Arial"/>
                <w:sz w:val="21"/>
              </w:rPr>
            </w:pPr>
          </w:p>
          <w:p w14:paraId="1FAE394A">
            <w:pPr>
              <w:pStyle w:val="7"/>
              <w:spacing w:before="65" w:line="434" w:lineRule="auto"/>
              <w:ind w:left="275" w:right="280" w:firstLine="17"/>
            </w:pPr>
            <w:r>
              <w:rPr>
                <w:spacing w:val="7"/>
              </w:rPr>
              <w:t>技术评分</w:t>
            </w:r>
            <w:r>
              <w:rPr>
                <w:spacing w:val="-2"/>
              </w:rPr>
              <w:t>（45</w:t>
            </w:r>
            <w:r>
              <w:rPr>
                <w:spacing w:val="-37"/>
              </w:rPr>
              <w:t xml:space="preserve"> </w:t>
            </w:r>
            <w:r>
              <w:rPr>
                <w:spacing w:val="-2"/>
              </w:rPr>
              <w:t>分）</w:t>
            </w:r>
          </w:p>
        </w:tc>
        <w:tc>
          <w:tcPr>
            <w:tcW w:w="1394" w:type="dxa"/>
            <w:vAlign w:val="top"/>
          </w:tcPr>
          <w:p w14:paraId="065FF507">
            <w:pPr>
              <w:spacing w:line="251" w:lineRule="auto"/>
              <w:rPr>
                <w:rFonts w:ascii="Arial"/>
                <w:sz w:val="21"/>
              </w:rPr>
            </w:pPr>
          </w:p>
          <w:p w14:paraId="793347C9">
            <w:pPr>
              <w:spacing w:line="251" w:lineRule="auto"/>
              <w:rPr>
                <w:rFonts w:ascii="Arial"/>
                <w:sz w:val="21"/>
              </w:rPr>
            </w:pPr>
          </w:p>
          <w:p w14:paraId="5F90B00F">
            <w:pPr>
              <w:spacing w:line="251" w:lineRule="auto"/>
              <w:rPr>
                <w:rFonts w:ascii="Arial"/>
                <w:sz w:val="21"/>
              </w:rPr>
            </w:pPr>
          </w:p>
          <w:p w14:paraId="647A3096">
            <w:pPr>
              <w:spacing w:line="251" w:lineRule="auto"/>
              <w:rPr>
                <w:rFonts w:ascii="Arial"/>
                <w:sz w:val="21"/>
              </w:rPr>
            </w:pPr>
          </w:p>
          <w:p w14:paraId="1F0D45E0">
            <w:pPr>
              <w:spacing w:line="251" w:lineRule="auto"/>
              <w:rPr>
                <w:rFonts w:ascii="Arial"/>
                <w:sz w:val="21"/>
              </w:rPr>
            </w:pPr>
          </w:p>
          <w:p w14:paraId="44CAD081">
            <w:pPr>
              <w:spacing w:line="251" w:lineRule="auto"/>
              <w:rPr>
                <w:rFonts w:ascii="Arial"/>
                <w:sz w:val="21"/>
              </w:rPr>
            </w:pPr>
          </w:p>
          <w:p w14:paraId="0C0A0FD9">
            <w:pPr>
              <w:spacing w:line="251" w:lineRule="auto"/>
              <w:rPr>
                <w:rFonts w:ascii="Arial"/>
                <w:sz w:val="21"/>
              </w:rPr>
            </w:pPr>
          </w:p>
          <w:p w14:paraId="50976FEF">
            <w:pPr>
              <w:spacing w:line="251" w:lineRule="auto"/>
              <w:rPr>
                <w:rFonts w:ascii="Arial"/>
                <w:sz w:val="21"/>
              </w:rPr>
            </w:pPr>
          </w:p>
          <w:p w14:paraId="5F3D8DC0">
            <w:pPr>
              <w:spacing w:line="251" w:lineRule="auto"/>
              <w:rPr>
                <w:rFonts w:ascii="Arial"/>
                <w:sz w:val="21"/>
              </w:rPr>
            </w:pPr>
          </w:p>
          <w:p w14:paraId="1CA25AC9">
            <w:pPr>
              <w:spacing w:line="251" w:lineRule="auto"/>
              <w:rPr>
                <w:rFonts w:ascii="Arial"/>
                <w:sz w:val="21"/>
              </w:rPr>
            </w:pPr>
          </w:p>
          <w:p w14:paraId="3B3A9A72">
            <w:pPr>
              <w:spacing w:line="251" w:lineRule="auto"/>
              <w:rPr>
                <w:rFonts w:ascii="Arial"/>
                <w:sz w:val="21"/>
              </w:rPr>
            </w:pPr>
          </w:p>
          <w:p w14:paraId="161D792C">
            <w:pPr>
              <w:spacing w:line="251" w:lineRule="auto"/>
              <w:rPr>
                <w:rFonts w:ascii="Arial"/>
                <w:sz w:val="21"/>
              </w:rPr>
            </w:pPr>
          </w:p>
          <w:p w14:paraId="30F4B36E">
            <w:pPr>
              <w:spacing w:line="251" w:lineRule="auto"/>
              <w:rPr>
                <w:rFonts w:ascii="Arial"/>
                <w:sz w:val="21"/>
              </w:rPr>
            </w:pPr>
          </w:p>
          <w:p w14:paraId="2133496B">
            <w:pPr>
              <w:spacing w:line="252" w:lineRule="auto"/>
              <w:rPr>
                <w:rFonts w:ascii="Arial"/>
                <w:sz w:val="21"/>
              </w:rPr>
            </w:pPr>
          </w:p>
          <w:p w14:paraId="2641B49C">
            <w:pPr>
              <w:spacing w:line="252" w:lineRule="auto"/>
              <w:rPr>
                <w:rFonts w:ascii="Arial"/>
                <w:sz w:val="21"/>
              </w:rPr>
            </w:pPr>
          </w:p>
          <w:p w14:paraId="73B66852">
            <w:pPr>
              <w:spacing w:line="252" w:lineRule="auto"/>
              <w:rPr>
                <w:rFonts w:ascii="Arial"/>
                <w:sz w:val="21"/>
              </w:rPr>
            </w:pPr>
          </w:p>
          <w:p w14:paraId="787D2381">
            <w:pPr>
              <w:pStyle w:val="7"/>
              <w:spacing w:before="65" w:line="228" w:lineRule="auto"/>
              <w:ind w:left="281"/>
            </w:pPr>
            <w:r>
              <w:rPr>
                <w:spacing w:val="7"/>
              </w:rPr>
              <w:t>服务方案</w:t>
            </w:r>
          </w:p>
        </w:tc>
        <w:tc>
          <w:tcPr>
            <w:tcW w:w="1056" w:type="dxa"/>
            <w:vAlign w:val="top"/>
          </w:tcPr>
          <w:p w14:paraId="74126EF2">
            <w:pPr>
              <w:spacing w:line="251" w:lineRule="auto"/>
              <w:rPr>
                <w:rFonts w:ascii="Arial"/>
                <w:sz w:val="21"/>
              </w:rPr>
            </w:pPr>
          </w:p>
          <w:p w14:paraId="60A7FD3E">
            <w:pPr>
              <w:spacing w:line="251" w:lineRule="auto"/>
              <w:rPr>
                <w:rFonts w:ascii="Arial"/>
                <w:sz w:val="21"/>
              </w:rPr>
            </w:pPr>
          </w:p>
          <w:p w14:paraId="6CA35DDB">
            <w:pPr>
              <w:spacing w:line="251" w:lineRule="auto"/>
              <w:rPr>
                <w:rFonts w:ascii="Arial"/>
                <w:sz w:val="21"/>
              </w:rPr>
            </w:pPr>
          </w:p>
          <w:p w14:paraId="08AC8B72">
            <w:pPr>
              <w:spacing w:line="251" w:lineRule="auto"/>
              <w:rPr>
                <w:rFonts w:ascii="Arial"/>
                <w:sz w:val="21"/>
              </w:rPr>
            </w:pPr>
          </w:p>
          <w:p w14:paraId="618B35EA">
            <w:pPr>
              <w:spacing w:line="251" w:lineRule="auto"/>
              <w:rPr>
                <w:rFonts w:ascii="Arial"/>
                <w:sz w:val="21"/>
              </w:rPr>
            </w:pPr>
          </w:p>
          <w:p w14:paraId="3D2C8272">
            <w:pPr>
              <w:spacing w:line="251" w:lineRule="auto"/>
              <w:rPr>
                <w:rFonts w:ascii="Arial"/>
                <w:sz w:val="21"/>
              </w:rPr>
            </w:pPr>
          </w:p>
          <w:p w14:paraId="61001357">
            <w:pPr>
              <w:spacing w:line="251" w:lineRule="auto"/>
              <w:rPr>
                <w:rFonts w:ascii="Arial"/>
                <w:sz w:val="21"/>
              </w:rPr>
            </w:pPr>
          </w:p>
          <w:p w14:paraId="583FC090">
            <w:pPr>
              <w:spacing w:line="251" w:lineRule="auto"/>
              <w:rPr>
                <w:rFonts w:ascii="Arial"/>
                <w:sz w:val="21"/>
              </w:rPr>
            </w:pPr>
          </w:p>
          <w:p w14:paraId="7525AE9C">
            <w:pPr>
              <w:spacing w:line="251" w:lineRule="auto"/>
              <w:rPr>
                <w:rFonts w:ascii="Arial"/>
                <w:sz w:val="21"/>
              </w:rPr>
            </w:pPr>
          </w:p>
          <w:p w14:paraId="7F1BCAED">
            <w:pPr>
              <w:spacing w:line="251" w:lineRule="auto"/>
              <w:rPr>
                <w:rFonts w:ascii="Arial"/>
                <w:sz w:val="21"/>
              </w:rPr>
            </w:pPr>
          </w:p>
          <w:p w14:paraId="3BABC295">
            <w:pPr>
              <w:spacing w:line="251" w:lineRule="auto"/>
              <w:rPr>
                <w:rFonts w:ascii="Arial"/>
                <w:sz w:val="21"/>
              </w:rPr>
            </w:pPr>
          </w:p>
          <w:p w14:paraId="4000872F">
            <w:pPr>
              <w:spacing w:line="251" w:lineRule="auto"/>
              <w:rPr>
                <w:rFonts w:ascii="Arial"/>
                <w:sz w:val="21"/>
              </w:rPr>
            </w:pPr>
          </w:p>
          <w:p w14:paraId="35061E23">
            <w:pPr>
              <w:spacing w:line="252" w:lineRule="auto"/>
              <w:rPr>
                <w:rFonts w:ascii="Arial"/>
                <w:sz w:val="21"/>
              </w:rPr>
            </w:pPr>
          </w:p>
          <w:p w14:paraId="29D8F340">
            <w:pPr>
              <w:spacing w:line="252" w:lineRule="auto"/>
              <w:rPr>
                <w:rFonts w:ascii="Arial"/>
                <w:sz w:val="21"/>
              </w:rPr>
            </w:pPr>
          </w:p>
          <w:p w14:paraId="55BEAF95">
            <w:pPr>
              <w:spacing w:line="252" w:lineRule="auto"/>
              <w:rPr>
                <w:rFonts w:ascii="Arial"/>
                <w:sz w:val="21"/>
              </w:rPr>
            </w:pPr>
          </w:p>
          <w:p w14:paraId="385348E2">
            <w:pPr>
              <w:spacing w:line="252" w:lineRule="auto"/>
              <w:rPr>
                <w:rFonts w:ascii="Arial"/>
                <w:sz w:val="21"/>
              </w:rPr>
            </w:pPr>
          </w:p>
          <w:p w14:paraId="33B1C757">
            <w:pPr>
              <w:pStyle w:val="7"/>
              <w:spacing w:before="65" w:line="228" w:lineRule="auto"/>
              <w:ind w:left="311"/>
            </w:pPr>
            <w:r>
              <w:rPr>
                <w:spacing w:val="-5"/>
              </w:rPr>
              <w:t>15</w:t>
            </w:r>
            <w:r>
              <w:rPr>
                <w:spacing w:val="-35"/>
              </w:rPr>
              <w:t xml:space="preserve"> </w:t>
            </w:r>
            <w:r>
              <w:rPr>
                <w:spacing w:val="-5"/>
              </w:rPr>
              <w:t>分</w:t>
            </w:r>
          </w:p>
        </w:tc>
        <w:tc>
          <w:tcPr>
            <w:tcW w:w="6655" w:type="dxa"/>
            <w:vAlign w:val="top"/>
          </w:tcPr>
          <w:p w14:paraId="4412ED39">
            <w:pPr>
              <w:pStyle w:val="7"/>
              <w:spacing w:before="130" w:line="228" w:lineRule="auto"/>
              <w:ind w:left="123"/>
            </w:pPr>
            <w:r>
              <w:rPr>
                <w:b/>
                <w:bCs/>
                <w:spacing w:val="4"/>
              </w:rPr>
              <w:t>（一）评分内容：</w:t>
            </w:r>
          </w:p>
          <w:p w14:paraId="470EC070">
            <w:pPr>
              <w:pStyle w:val="7"/>
              <w:spacing w:before="221" w:line="432" w:lineRule="auto"/>
              <w:ind w:left="113" w:right="107"/>
            </w:pPr>
            <w:r>
              <w:rPr>
                <w:spacing w:val="7"/>
              </w:rPr>
              <w:t>根据参评人提供的本项目服务方案进行评审，主要考察服务方案三个方</w:t>
            </w:r>
            <w:r>
              <w:rPr>
                <w:spacing w:val="5"/>
              </w:rPr>
              <w:t>面的内容：</w:t>
            </w:r>
          </w:p>
          <w:p w14:paraId="24E3C4B7">
            <w:pPr>
              <w:pStyle w:val="7"/>
              <w:spacing w:line="226" w:lineRule="auto"/>
              <w:ind w:left="129"/>
            </w:pPr>
            <w:r>
              <w:rPr>
                <w:spacing w:val="7"/>
              </w:rPr>
              <w:t>1.对采购单位空调情况的认识和理解；</w:t>
            </w:r>
          </w:p>
          <w:p w14:paraId="6B9CEBFF">
            <w:pPr>
              <w:pStyle w:val="7"/>
              <w:spacing w:before="221" w:line="228" w:lineRule="auto"/>
              <w:ind w:left="116"/>
            </w:pPr>
            <w:r>
              <w:rPr>
                <w:spacing w:val="8"/>
              </w:rPr>
              <w:t>2.对清洗保养各方面工作的理解、实施思</w:t>
            </w:r>
            <w:r>
              <w:rPr>
                <w:rFonts w:hint="eastAsia"/>
                <w:spacing w:val="8"/>
                <w:lang w:eastAsia="zh-CN"/>
              </w:rPr>
              <w:t>路和</w:t>
            </w:r>
            <w:r>
              <w:rPr>
                <w:spacing w:val="8"/>
              </w:rPr>
              <w:t>措施情况；</w:t>
            </w:r>
          </w:p>
          <w:p w14:paraId="1016A0D4">
            <w:pPr>
              <w:pStyle w:val="7"/>
              <w:spacing w:before="222" w:line="228" w:lineRule="auto"/>
              <w:ind w:left="117"/>
            </w:pPr>
            <w:r>
              <w:rPr>
                <w:spacing w:val="8"/>
              </w:rPr>
              <w:t>3.项目人员配置与进度计划的安排。</w:t>
            </w:r>
          </w:p>
          <w:p w14:paraId="62A78129">
            <w:pPr>
              <w:pStyle w:val="7"/>
              <w:spacing w:before="221" w:line="228" w:lineRule="auto"/>
              <w:ind w:left="123"/>
            </w:pPr>
            <w:r>
              <w:rPr>
                <w:b/>
                <w:bCs/>
                <w:spacing w:val="4"/>
              </w:rPr>
              <w:t>（二）评分标准：</w:t>
            </w:r>
          </w:p>
          <w:p w14:paraId="752A4439">
            <w:pPr>
              <w:pStyle w:val="7"/>
              <w:spacing w:before="220" w:line="432" w:lineRule="auto"/>
              <w:ind w:left="112" w:right="39" w:firstLine="2"/>
              <w:jc w:val="both"/>
            </w:pPr>
            <w:r>
              <w:rPr>
                <w:spacing w:val="6"/>
              </w:rPr>
              <w:t>参评人提供的《服务方案》包含上述三项考察内容的，得</w:t>
            </w:r>
            <w:r>
              <w:rPr>
                <w:spacing w:val="-25"/>
              </w:rPr>
              <w:t xml:space="preserve"> </w:t>
            </w:r>
            <w:r>
              <w:rPr>
                <w:spacing w:val="6"/>
              </w:rPr>
              <w:t>9</w:t>
            </w:r>
            <w:r>
              <w:rPr>
                <w:spacing w:val="-35"/>
              </w:rPr>
              <w:t xml:space="preserve"> </w:t>
            </w:r>
            <w:r>
              <w:rPr>
                <w:spacing w:val="6"/>
              </w:rPr>
              <w:t>分，满足以</w:t>
            </w:r>
            <w:r>
              <w:rPr>
                <w:spacing w:val="1"/>
              </w:rPr>
              <w:t>上任意</w:t>
            </w:r>
            <w:r>
              <w:rPr>
                <w:rFonts w:hint="eastAsia"/>
                <w:spacing w:val="1"/>
                <w:lang w:eastAsia="zh-CN"/>
              </w:rPr>
              <w:t>两项</w:t>
            </w:r>
            <w:r>
              <w:rPr>
                <w:spacing w:val="1"/>
              </w:rPr>
              <w:t>要求得</w:t>
            </w:r>
            <w:r>
              <w:rPr>
                <w:spacing w:val="-29"/>
              </w:rPr>
              <w:t xml:space="preserve"> </w:t>
            </w:r>
            <w:r>
              <w:rPr>
                <w:spacing w:val="1"/>
              </w:rPr>
              <w:t>6</w:t>
            </w:r>
            <w:r>
              <w:rPr>
                <w:spacing w:val="-36"/>
              </w:rPr>
              <w:t xml:space="preserve"> </w:t>
            </w:r>
            <w:r>
              <w:rPr>
                <w:spacing w:val="1"/>
              </w:rPr>
              <w:t>分，满足以上任意一项要求得</w:t>
            </w:r>
            <w:r>
              <w:rPr>
                <w:spacing w:val="-35"/>
              </w:rPr>
              <w:t xml:space="preserve"> </w:t>
            </w:r>
            <w:r>
              <w:rPr>
                <w:spacing w:val="1"/>
              </w:rPr>
              <w:t>3</w:t>
            </w:r>
            <w:r>
              <w:rPr>
                <w:spacing w:val="-35"/>
              </w:rPr>
              <w:t xml:space="preserve"> </w:t>
            </w:r>
            <w:r>
              <w:rPr>
                <w:spacing w:val="1"/>
              </w:rPr>
              <w:t>分，未满足不得分。</w:t>
            </w:r>
            <w:r>
              <w:rPr>
                <w:spacing w:val="7"/>
              </w:rPr>
              <w:t>在上述基础上，专家根据给供应商的具体响应内容按照量化的评审因素指标进一步评审：</w:t>
            </w:r>
          </w:p>
          <w:p w14:paraId="4C7927E1">
            <w:pPr>
              <w:pStyle w:val="7"/>
              <w:spacing w:before="1" w:line="227" w:lineRule="auto"/>
              <w:ind w:left="123"/>
            </w:pPr>
            <w:r>
              <w:rPr>
                <w:spacing w:val="7"/>
              </w:rPr>
              <w:t>（</w:t>
            </w:r>
            <w:r>
              <w:rPr>
                <w:rFonts w:ascii="Times New Roman" w:hAnsi="Times New Roman" w:eastAsia="Times New Roman" w:cs="Times New Roman"/>
                <w:spacing w:val="7"/>
              </w:rPr>
              <w:t>1</w:t>
            </w:r>
            <w:r>
              <w:rPr>
                <w:spacing w:val="7"/>
              </w:rPr>
              <w:t>）服务方案内容分析数据</w:t>
            </w:r>
            <w:r>
              <w:rPr>
                <w:rFonts w:hint="eastAsia"/>
                <w:spacing w:val="7"/>
                <w:lang w:eastAsia="zh-CN"/>
              </w:rPr>
              <w:t>翔实</w:t>
            </w:r>
            <w:r>
              <w:rPr>
                <w:spacing w:val="7"/>
              </w:rPr>
              <w:t>；</w:t>
            </w:r>
          </w:p>
          <w:p w14:paraId="7A57C3FD">
            <w:pPr>
              <w:pStyle w:val="7"/>
              <w:spacing w:before="221" w:line="228" w:lineRule="auto"/>
              <w:ind w:left="123"/>
            </w:pPr>
            <w:r>
              <w:rPr>
                <w:spacing w:val="7"/>
              </w:rPr>
              <w:t>（2）服务方案内容系统全面；</w:t>
            </w:r>
          </w:p>
          <w:p w14:paraId="6D6253AE">
            <w:pPr>
              <w:pStyle w:val="7"/>
              <w:spacing w:before="221" w:line="228" w:lineRule="auto"/>
              <w:ind w:left="123"/>
            </w:pPr>
            <w:r>
              <w:rPr>
                <w:spacing w:val="7"/>
              </w:rPr>
              <w:t>（3）服务方案内容契合实际；</w:t>
            </w:r>
          </w:p>
          <w:p w14:paraId="0F540E5D">
            <w:pPr>
              <w:pStyle w:val="7"/>
              <w:spacing w:before="221" w:line="227" w:lineRule="auto"/>
              <w:ind w:left="123"/>
            </w:pPr>
            <w:r>
              <w:rPr>
                <w:spacing w:val="8"/>
              </w:rPr>
              <w:t>（4）服务方案内容科学合理、操作性强；</w:t>
            </w:r>
          </w:p>
          <w:p w14:paraId="000D53AD">
            <w:pPr>
              <w:pStyle w:val="7"/>
              <w:spacing w:before="224" w:line="389" w:lineRule="auto"/>
              <w:ind w:left="112" w:right="110"/>
              <w:jc w:val="both"/>
            </w:pPr>
            <w:r>
              <w:rPr>
                <w:spacing w:val="9"/>
              </w:rPr>
              <w:t>满足以上四项要求加6</w:t>
            </w:r>
            <w:r>
              <w:rPr>
                <w:spacing w:val="-25"/>
              </w:rPr>
              <w:t xml:space="preserve"> </w:t>
            </w:r>
            <w:r>
              <w:rPr>
                <w:spacing w:val="9"/>
              </w:rPr>
              <w:t>分，满足以上任意三项要求加4.5</w:t>
            </w:r>
            <w:r>
              <w:rPr>
                <w:spacing w:val="-38"/>
              </w:rPr>
              <w:t xml:space="preserve"> </w:t>
            </w:r>
            <w:r>
              <w:rPr>
                <w:spacing w:val="9"/>
              </w:rPr>
              <w:t>分，满足以上</w:t>
            </w:r>
            <w:r>
              <w:rPr>
                <w:spacing w:val="5"/>
              </w:rPr>
              <w:t>任意两项要求加</w:t>
            </w:r>
            <w:r>
              <w:rPr>
                <w:spacing w:val="-35"/>
              </w:rPr>
              <w:t xml:space="preserve"> </w:t>
            </w:r>
            <w:r>
              <w:rPr>
                <w:spacing w:val="5"/>
              </w:rPr>
              <w:t>3</w:t>
            </w:r>
            <w:r>
              <w:rPr>
                <w:spacing w:val="-36"/>
              </w:rPr>
              <w:t xml:space="preserve"> </w:t>
            </w:r>
            <w:r>
              <w:rPr>
                <w:spacing w:val="5"/>
              </w:rPr>
              <w:t>分，满足以上任意一项要求加</w:t>
            </w:r>
            <w:r>
              <w:rPr>
                <w:spacing w:val="-23"/>
              </w:rPr>
              <w:t xml:space="preserve"> </w:t>
            </w:r>
            <w:r>
              <w:rPr>
                <w:spacing w:val="5"/>
              </w:rPr>
              <w:t>1.5</w:t>
            </w:r>
            <w:r>
              <w:rPr>
                <w:spacing w:val="-38"/>
              </w:rPr>
              <w:t xml:space="preserve"> </w:t>
            </w:r>
            <w:r>
              <w:rPr>
                <w:spacing w:val="5"/>
              </w:rPr>
              <w:t>分，</w:t>
            </w:r>
            <w:r>
              <w:rPr>
                <w:rFonts w:hint="eastAsia"/>
                <w:spacing w:val="5"/>
                <w:lang w:eastAsia="zh-CN"/>
              </w:rPr>
              <w:t>其他情况</w:t>
            </w:r>
            <w:r>
              <w:rPr>
                <w:spacing w:val="4"/>
              </w:rPr>
              <w:t>不得</w:t>
            </w:r>
            <w:r>
              <w:rPr>
                <w:spacing w:val="8"/>
              </w:rPr>
              <w:t>分，并需专家说明不得分理由。</w:t>
            </w:r>
          </w:p>
        </w:tc>
      </w:tr>
      <w:tr w14:paraId="62C40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7" w:hRule="atLeast"/>
        </w:trPr>
        <w:tc>
          <w:tcPr>
            <w:tcW w:w="1415" w:type="dxa"/>
            <w:vMerge w:val="continue"/>
            <w:tcBorders>
              <w:top w:val="nil"/>
            </w:tcBorders>
            <w:vAlign w:val="top"/>
          </w:tcPr>
          <w:p w14:paraId="015326F0">
            <w:pPr>
              <w:rPr>
                <w:rFonts w:ascii="Arial"/>
                <w:sz w:val="21"/>
              </w:rPr>
            </w:pPr>
          </w:p>
        </w:tc>
        <w:tc>
          <w:tcPr>
            <w:tcW w:w="1394" w:type="dxa"/>
            <w:vAlign w:val="top"/>
          </w:tcPr>
          <w:p w14:paraId="2B89983D">
            <w:pPr>
              <w:spacing w:line="301" w:lineRule="auto"/>
              <w:rPr>
                <w:rFonts w:ascii="Arial"/>
                <w:sz w:val="21"/>
              </w:rPr>
            </w:pPr>
          </w:p>
          <w:p w14:paraId="38687935">
            <w:pPr>
              <w:pStyle w:val="7"/>
              <w:spacing w:before="65" w:line="228" w:lineRule="auto"/>
              <w:ind w:left="111"/>
            </w:pPr>
            <w:r>
              <w:rPr>
                <w:spacing w:val="-6"/>
              </w:rPr>
              <w:t>质量（完成时</w:t>
            </w:r>
          </w:p>
          <w:p w14:paraId="41C7FBE6">
            <w:pPr>
              <w:pStyle w:val="7"/>
              <w:spacing w:before="221" w:line="229" w:lineRule="auto"/>
              <w:ind w:left="127"/>
            </w:pPr>
            <w:r>
              <w:rPr>
                <w:spacing w:val="-8"/>
              </w:rPr>
              <w:t>间、安全、环</w:t>
            </w:r>
          </w:p>
          <w:p w14:paraId="553931BC">
            <w:pPr>
              <w:pStyle w:val="7"/>
              <w:spacing w:before="219" w:line="228" w:lineRule="auto"/>
              <w:ind w:left="111"/>
            </w:pPr>
            <w:r>
              <w:rPr>
                <w:spacing w:val="-6"/>
              </w:rPr>
              <w:t>保）保障措施</w:t>
            </w:r>
          </w:p>
          <w:p w14:paraId="11DF935B">
            <w:pPr>
              <w:pStyle w:val="7"/>
              <w:spacing w:before="221" w:line="228" w:lineRule="auto"/>
              <w:ind w:left="385"/>
            </w:pPr>
            <w:r>
              <w:rPr>
                <w:spacing w:val="7"/>
              </w:rPr>
              <w:t>及方案</w:t>
            </w:r>
          </w:p>
        </w:tc>
        <w:tc>
          <w:tcPr>
            <w:tcW w:w="1056" w:type="dxa"/>
            <w:vAlign w:val="top"/>
          </w:tcPr>
          <w:p w14:paraId="4380C77D">
            <w:pPr>
              <w:spacing w:line="249" w:lineRule="auto"/>
              <w:rPr>
                <w:rFonts w:ascii="Arial"/>
                <w:sz w:val="21"/>
              </w:rPr>
            </w:pPr>
          </w:p>
          <w:p w14:paraId="12B1EF94">
            <w:pPr>
              <w:spacing w:line="249" w:lineRule="auto"/>
              <w:rPr>
                <w:rFonts w:ascii="Arial"/>
                <w:sz w:val="21"/>
              </w:rPr>
            </w:pPr>
          </w:p>
          <w:p w14:paraId="6B3B8991">
            <w:pPr>
              <w:spacing w:line="250" w:lineRule="auto"/>
              <w:rPr>
                <w:rFonts w:ascii="Arial"/>
                <w:sz w:val="21"/>
              </w:rPr>
            </w:pPr>
          </w:p>
          <w:p w14:paraId="2858F860">
            <w:pPr>
              <w:spacing w:line="250" w:lineRule="auto"/>
              <w:rPr>
                <w:rFonts w:ascii="Arial"/>
                <w:sz w:val="21"/>
              </w:rPr>
            </w:pPr>
          </w:p>
          <w:p w14:paraId="7410D527">
            <w:pPr>
              <w:pStyle w:val="7"/>
              <w:spacing w:before="65" w:line="228" w:lineRule="auto"/>
              <w:ind w:left="311"/>
            </w:pPr>
            <w:r>
              <w:rPr>
                <w:spacing w:val="-5"/>
              </w:rPr>
              <w:t>15</w:t>
            </w:r>
            <w:r>
              <w:rPr>
                <w:spacing w:val="-35"/>
              </w:rPr>
              <w:t xml:space="preserve"> </w:t>
            </w:r>
            <w:r>
              <w:rPr>
                <w:spacing w:val="-5"/>
              </w:rPr>
              <w:t>分</w:t>
            </w:r>
          </w:p>
        </w:tc>
        <w:tc>
          <w:tcPr>
            <w:tcW w:w="6655" w:type="dxa"/>
            <w:vAlign w:val="top"/>
          </w:tcPr>
          <w:p w14:paraId="54972369">
            <w:pPr>
              <w:pStyle w:val="7"/>
              <w:spacing w:before="132" w:line="228" w:lineRule="auto"/>
              <w:ind w:left="123"/>
            </w:pPr>
            <w:r>
              <w:rPr>
                <w:b/>
                <w:bCs/>
                <w:spacing w:val="4"/>
              </w:rPr>
              <w:t>（一）评分内容：</w:t>
            </w:r>
          </w:p>
          <w:p w14:paraId="46D6C438">
            <w:pPr>
              <w:pStyle w:val="7"/>
              <w:spacing w:before="221" w:line="432" w:lineRule="auto"/>
              <w:ind w:left="113" w:right="70"/>
            </w:pPr>
            <w:r>
              <w:rPr>
                <w:spacing w:val="8"/>
              </w:rPr>
              <w:t>根据对项目的理解及自身项目管理经验，提出质量（完成时间、安全、环保）保障措施及方案。包括：</w:t>
            </w:r>
          </w:p>
          <w:p w14:paraId="711D98F9">
            <w:pPr>
              <w:pStyle w:val="7"/>
              <w:spacing w:line="228" w:lineRule="auto"/>
              <w:ind w:left="129"/>
            </w:pPr>
            <w:r>
              <w:rPr>
                <w:spacing w:val="8"/>
              </w:rPr>
              <w:t>1.给出分阶段项目时间安排、工作进度与阶段性成果；</w:t>
            </w:r>
          </w:p>
          <w:p w14:paraId="5255E9E2">
            <w:pPr>
              <w:pStyle w:val="7"/>
              <w:spacing w:before="220" w:line="228" w:lineRule="auto"/>
              <w:ind w:left="116"/>
            </w:pPr>
            <w:r>
              <w:rPr>
                <w:spacing w:val="8"/>
              </w:rPr>
              <w:t>2.阐述项目时间管理制度与措施；</w:t>
            </w:r>
          </w:p>
        </w:tc>
      </w:tr>
    </w:tbl>
    <w:p w14:paraId="0572A169">
      <w:pPr>
        <w:rPr>
          <w:rFonts w:ascii="Arial"/>
          <w:sz w:val="21"/>
        </w:rPr>
      </w:pPr>
    </w:p>
    <w:p w14:paraId="501E36AD">
      <w:pPr>
        <w:rPr>
          <w:rFonts w:ascii="Arial" w:hAnsi="Arial" w:eastAsia="Arial" w:cs="Arial"/>
          <w:sz w:val="21"/>
          <w:szCs w:val="21"/>
        </w:rPr>
        <w:sectPr>
          <w:headerReference r:id="rId11" w:type="default"/>
          <w:footerReference r:id="rId12" w:type="default"/>
          <w:pgSz w:w="11906" w:h="16839"/>
          <w:pgMar w:top="1087" w:right="690" w:bottom="1065" w:left="690" w:header="810" w:footer="903" w:gutter="0"/>
          <w:cols w:space="720" w:num="1"/>
        </w:sectPr>
      </w:pPr>
    </w:p>
    <w:p w14:paraId="0418864E">
      <w:pPr>
        <w:spacing w:line="46" w:lineRule="exact"/>
      </w:pPr>
    </w:p>
    <w:tbl>
      <w:tblPr>
        <w:tblStyle w:val="8"/>
        <w:tblW w:w="10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1394"/>
        <w:gridCol w:w="1056"/>
        <w:gridCol w:w="6655"/>
      </w:tblGrid>
      <w:tr w14:paraId="772EA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3" w:hRule="atLeast"/>
        </w:trPr>
        <w:tc>
          <w:tcPr>
            <w:tcW w:w="1415" w:type="dxa"/>
            <w:vMerge w:val="restart"/>
            <w:tcBorders>
              <w:bottom w:val="nil"/>
            </w:tcBorders>
            <w:vAlign w:val="top"/>
          </w:tcPr>
          <w:p w14:paraId="30BF21AD">
            <w:pPr>
              <w:rPr>
                <w:rFonts w:ascii="Arial"/>
                <w:sz w:val="21"/>
              </w:rPr>
            </w:pPr>
          </w:p>
        </w:tc>
        <w:tc>
          <w:tcPr>
            <w:tcW w:w="1394" w:type="dxa"/>
            <w:vAlign w:val="top"/>
          </w:tcPr>
          <w:p w14:paraId="592DCD36">
            <w:pPr>
              <w:rPr>
                <w:rFonts w:ascii="Arial"/>
                <w:sz w:val="21"/>
              </w:rPr>
            </w:pPr>
          </w:p>
        </w:tc>
        <w:tc>
          <w:tcPr>
            <w:tcW w:w="1056" w:type="dxa"/>
            <w:vAlign w:val="top"/>
          </w:tcPr>
          <w:p w14:paraId="32B1C700">
            <w:pPr>
              <w:rPr>
                <w:rFonts w:ascii="Arial"/>
                <w:sz w:val="21"/>
              </w:rPr>
            </w:pPr>
          </w:p>
        </w:tc>
        <w:tc>
          <w:tcPr>
            <w:tcW w:w="6655" w:type="dxa"/>
            <w:vAlign w:val="top"/>
          </w:tcPr>
          <w:p w14:paraId="0299824D">
            <w:pPr>
              <w:pStyle w:val="7"/>
              <w:spacing w:before="134" w:line="228" w:lineRule="auto"/>
              <w:ind w:left="117"/>
            </w:pPr>
            <w:r>
              <w:rPr>
                <w:spacing w:val="7"/>
              </w:rPr>
              <w:t>3.阐述项目质量管理制度与措施；</w:t>
            </w:r>
          </w:p>
          <w:p w14:paraId="73B374C0">
            <w:pPr>
              <w:pStyle w:val="7"/>
              <w:spacing w:before="220" w:line="228" w:lineRule="auto"/>
              <w:ind w:left="112"/>
            </w:pPr>
            <w:r>
              <w:rPr>
                <w:spacing w:val="8"/>
              </w:rPr>
              <w:t>4.阐述项目资料、成果安全性保障制度与措施。</w:t>
            </w:r>
          </w:p>
          <w:p w14:paraId="342B6951">
            <w:pPr>
              <w:pStyle w:val="7"/>
              <w:spacing w:before="221" w:line="228" w:lineRule="auto"/>
              <w:ind w:left="123"/>
            </w:pPr>
            <w:r>
              <w:rPr>
                <w:b/>
                <w:bCs/>
                <w:spacing w:val="4"/>
              </w:rPr>
              <w:t>（二）评分标准：</w:t>
            </w:r>
          </w:p>
          <w:p w14:paraId="73B1D99E">
            <w:pPr>
              <w:pStyle w:val="7"/>
              <w:spacing w:before="220" w:line="432" w:lineRule="auto"/>
              <w:ind w:left="115" w:right="107"/>
              <w:jc w:val="both"/>
            </w:pPr>
            <w:r>
              <w:rPr>
                <w:spacing w:val="7"/>
              </w:rPr>
              <w:t>投标人提供的《质量（完成时间、安全、环保）保障措施及方案》包含</w:t>
            </w:r>
            <w:r>
              <w:rPr>
                <w:spacing w:val="8"/>
              </w:rPr>
              <w:t>上述四项考察内容的，得</w:t>
            </w:r>
            <w:r>
              <w:rPr>
                <w:spacing w:val="-21"/>
              </w:rPr>
              <w:t xml:space="preserve"> </w:t>
            </w:r>
            <w:r>
              <w:rPr>
                <w:spacing w:val="8"/>
              </w:rPr>
              <w:t>10</w:t>
            </w:r>
            <w:r>
              <w:rPr>
                <w:spacing w:val="-38"/>
              </w:rPr>
              <w:t xml:space="preserve"> </w:t>
            </w:r>
            <w:r>
              <w:rPr>
                <w:spacing w:val="8"/>
              </w:rPr>
              <w:t>分，满足以上任意三项要求得</w:t>
            </w:r>
            <w:r>
              <w:rPr>
                <w:spacing w:val="-32"/>
              </w:rPr>
              <w:t xml:space="preserve"> </w:t>
            </w:r>
            <w:r>
              <w:rPr>
                <w:spacing w:val="8"/>
              </w:rPr>
              <w:t>7.</w:t>
            </w:r>
            <w:r>
              <w:rPr>
                <w:spacing w:val="7"/>
              </w:rPr>
              <w:t>5</w:t>
            </w:r>
            <w:r>
              <w:rPr>
                <w:spacing w:val="-38"/>
              </w:rPr>
              <w:t xml:space="preserve"> </w:t>
            </w:r>
            <w:r>
              <w:rPr>
                <w:spacing w:val="7"/>
              </w:rPr>
              <w:t>分，满</w:t>
            </w:r>
            <w:r>
              <w:rPr>
                <w:spacing w:val="5"/>
              </w:rPr>
              <w:t>足以上任意两项要求得</w:t>
            </w:r>
            <w:r>
              <w:rPr>
                <w:spacing w:val="-27"/>
              </w:rPr>
              <w:t xml:space="preserve"> </w:t>
            </w:r>
            <w:r>
              <w:rPr>
                <w:spacing w:val="5"/>
              </w:rPr>
              <w:t>5</w:t>
            </w:r>
            <w:r>
              <w:rPr>
                <w:spacing w:val="-35"/>
              </w:rPr>
              <w:t xml:space="preserve"> </w:t>
            </w:r>
            <w:r>
              <w:rPr>
                <w:spacing w:val="5"/>
              </w:rPr>
              <w:t>分，满足以上任意一项要求得</w:t>
            </w:r>
            <w:r>
              <w:rPr>
                <w:spacing w:val="-35"/>
              </w:rPr>
              <w:t xml:space="preserve"> </w:t>
            </w:r>
            <w:r>
              <w:rPr>
                <w:spacing w:val="5"/>
              </w:rPr>
              <w:t>2.5</w:t>
            </w:r>
            <w:r>
              <w:rPr>
                <w:spacing w:val="-37"/>
              </w:rPr>
              <w:t xml:space="preserve"> </w:t>
            </w:r>
            <w:r>
              <w:rPr>
                <w:spacing w:val="5"/>
              </w:rPr>
              <w:t>分，未满足</w:t>
            </w:r>
            <w:r>
              <w:rPr>
                <w:spacing w:val="4"/>
              </w:rPr>
              <w:t>不得分。</w:t>
            </w:r>
          </w:p>
          <w:p w14:paraId="15BB361C">
            <w:pPr>
              <w:pStyle w:val="7"/>
              <w:spacing w:before="2" w:line="431" w:lineRule="auto"/>
              <w:ind w:left="113" w:right="107" w:hanging="1"/>
            </w:pPr>
            <w:r>
              <w:rPr>
                <w:spacing w:val="7"/>
              </w:rPr>
              <w:t>在此基础上，专家根据各供应商的具体响应内容按照量化的评审因素指</w:t>
            </w:r>
            <w:r>
              <w:rPr>
                <w:spacing w:val="6"/>
              </w:rPr>
              <w:t>标进一步评审：</w:t>
            </w:r>
          </w:p>
          <w:p w14:paraId="27688081">
            <w:pPr>
              <w:pStyle w:val="7"/>
              <w:spacing w:before="1" w:line="226" w:lineRule="auto"/>
              <w:ind w:left="123"/>
            </w:pPr>
            <w:r>
              <w:rPr>
                <w:spacing w:val="9"/>
              </w:rPr>
              <w:t>（1）质量（完成时间、安全、环保）保障措施及方案</w:t>
            </w:r>
            <w:r>
              <w:rPr>
                <w:spacing w:val="8"/>
              </w:rPr>
              <w:t>场景考虑周到；</w:t>
            </w:r>
          </w:p>
          <w:p w14:paraId="166A35D2">
            <w:pPr>
              <w:pStyle w:val="7"/>
              <w:spacing w:before="222" w:line="228" w:lineRule="auto"/>
              <w:ind w:left="123"/>
            </w:pPr>
            <w:r>
              <w:rPr>
                <w:spacing w:val="9"/>
              </w:rPr>
              <w:t>（2）质量（完成时间、安全、环保）保障措施及方案</w:t>
            </w:r>
            <w:r>
              <w:rPr>
                <w:spacing w:val="8"/>
              </w:rPr>
              <w:t>措施系统全面；</w:t>
            </w:r>
          </w:p>
          <w:p w14:paraId="6C4F6767">
            <w:pPr>
              <w:pStyle w:val="7"/>
              <w:spacing w:before="221" w:line="228" w:lineRule="auto"/>
              <w:ind w:left="123"/>
            </w:pPr>
            <w:r>
              <w:rPr>
                <w:spacing w:val="9"/>
              </w:rPr>
              <w:t>（3）质量（完成时间、安全、环保）保障措施及方案</w:t>
            </w:r>
            <w:r>
              <w:rPr>
                <w:spacing w:val="8"/>
              </w:rPr>
              <w:t>内容符合实际；</w:t>
            </w:r>
          </w:p>
          <w:p w14:paraId="764D6771">
            <w:pPr>
              <w:pStyle w:val="7"/>
              <w:spacing w:before="221" w:line="432" w:lineRule="auto"/>
              <w:ind w:left="112" w:right="145" w:firstLine="10"/>
            </w:pPr>
            <w:r>
              <w:rPr>
                <w:spacing w:val="9"/>
              </w:rPr>
              <w:t>（4）质量（完成时间、安全、环保）保障措施及方案内容科学合理、</w:t>
            </w:r>
            <w:r>
              <w:rPr>
                <w:spacing w:val="6"/>
              </w:rPr>
              <w:t>操作性强；</w:t>
            </w:r>
          </w:p>
          <w:p w14:paraId="01ED8894">
            <w:pPr>
              <w:pStyle w:val="7"/>
              <w:spacing w:before="3" w:line="389" w:lineRule="auto"/>
              <w:ind w:left="118" w:right="86" w:hanging="5"/>
              <w:jc w:val="both"/>
            </w:pPr>
            <w:r>
              <w:rPr>
                <w:spacing w:val="5"/>
              </w:rPr>
              <w:t>满足以上四项要求加</w:t>
            </w:r>
            <w:r>
              <w:rPr>
                <w:spacing w:val="-22"/>
              </w:rPr>
              <w:t xml:space="preserve"> </w:t>
            </w:r>
            <w:r>
              <w:rPr>
                <w:spacing w:val="5"/>
              </w:rPr>
              <w:t>5</w:t>
            </w:r>
            <w:r>
              <w:rPr>
                <w:spacing w:val="-35"/>
              </w:rPr>
              <w:t xml:space="preserve"> </w:t>
            </w:r>
            <w:r>
              <w:rPr>
                <w:spacing w:val="5"/>
              </w:rPr>
              <w:t>分，满足以上任意三项要求加</w:t>
            </w:r>
            <w:r>
              <w:rPr>
                <w:spacing w:val="-35"/>
              </w:rPr>
              <w:t xml:space="preserve"> </w:t>
            </w:r>
            <w:r>
              <w:rPr>
                <w:spacing w:val="5"/>
              </w:rPr>
              <w:t>3</w:t>
            </w:r>
            <w:r>
              <w:rPr>
                <w:spacing w:val="-36"/>
              </w:rPr>
              <w:t xml:space="preserve"> </w:t>
            </w:r>
            <w:r>
              <w:rPr>
                <w:spacing w:val="5"/>
              </w:rPr>
              <w:t>分，满足以上任</w:t>
            </w:r>
            <w:r>
              <w:rPr>
                <w:spacing w:val="6"/>
              </w:rPr>
              <w:t>意两项要求加</w:t>
            </w:r>
            <w:r>
              <w:rPr>
                <w:spacing w:val="-37"/>
              </w:rPr>
              <w:t xml:space="preserve"> </w:t>
            </w:r>
            <w:r>
              <w:rPr>
                <w:spacing w:val="6"/>
              </w:rPr>
              <w:t>2</w:t>
            </w:r>
            <w:r>
              <w:rPr>
                <w:spacing w:val="-36"/>
              </w:rPr>
              <w:t xml:space="preserve"> </w:t>
            </w:r>
            <w:r>
              <w:rPr>
                <w:spacing w:val="6"/>
              </w:rPr>
              <w:t>分，满足以上任意一项要求加</w:t>
            </w:r>
            <w:r>
              <w:rPr>
                <w:spacing w:val="-23"/>
              </w:rPr>
              <w:t xml:space="preserve"> </w:t>
            </w:r>
            <w:r>
              <w:rPr>
                <w:spacing w:val="5"/>
              </w:rPr>
              <w:t>1</w:t>
            </w:r>
            <w:r>
              <w:rPr>
                <w:spacing w:val="-36"/>
              </w:rPr>
              <w:t xml:space="preserve"> </w:t>
            </w:r>
            <w:r>
              <w:rPr>
                <w:spacing w:val="5"/>
              </w:rPr>
              <w:t>分，</w:t>
            </w:r>
            <w:r>
              <w:rPr>
                <w:rFonts w:hint="eastAsia"/>
                <w:spacing w:val="5"/>
                <w:lang w:eastAsia="zh-CN"/>
              </w:rPr>
              <w:t>其他情况</w:t>
            </w:r>
            <w:r>
              <w:rPr>
                <w:spacing w:val="5"/>
              </w:rPr>
              <w:t>不得分，</w:t>
            </w:r>
            <w:r>
              <w:rPr>
                <w:spacing w:val="7"/>
              </w:rPr>
              <w:t>并需专家说明不得分理由。</w:t>
            </w:r>
          </w:p>
        </w:tc>
      </w:tr>
      <w:tr w14:paraId="7BFAA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7" w:hRule="atLeast"/>
        </w:trPr>
        <w:tc>
          <w:tcPr>
            <w:tcW w:w="1415" w:type="dxa"/>
            <w:vMerge w:val="continue"/>
            <w:tcBorders>
              <w:top w:val="nil"/>
            </w:tcBorders>
            <w:vAlign w:val="top"/>
          </w:tcPr>
          <w:p w14:paraId="45F2621D">
            <w:pPr>
              <w:rPr>
                <w:rFonts w:ascii="Arial"/>
                <w:sz w:val="21"/>
              </w:rPr>
            </w:pPr>
          </w:p>
        </w:tc>
        <w:tc>
          <w:tcPr>
            <w:tcW w:w="1394" w:type="dxa"/>
            <w:vAlign w:val="top"/>
          </w:tcPr>
          <w:p w14:paraId="72FE2D14">
            <w:pPr>
              <w:spacing w:line="259" w:lineRule="auto"/>
              <w:rPr>
                <w:rFonts w:ascii="Arial"/>
                <w:sz w:val="21"/>
              </w:rPr>
            </w:pPr>
          </w:p>
          <w:p w14:paraId="42F47C1F">
            <w:pPr>
              <w:spacing w:line="259" w:lineRule="auto"/>
              <w:rPr>
                <w:rFonts w:ascii="Arial"/>
                <w:sz w:val="21"/>
              </w:rPr>
            </w:pPr>
          </w:p>
          <w:p w14:paraId="141826A8">
            <w:pPr>
              <w:spacing w:line="259" w:lineRule="auto"/>
              <w:rPr>
                <w:rFonts w:ascii="Arial"/>
                <w:sz w:val="21"/>
              </w:rPr>
            </w:pPr>
          </w:p>
          <w:p w14:paraId="0E2A76AB">
            <w:pPr>
              <w:spacing w:line="259" w:lineRule="auto"/>
              <w:rPr>
                <w:rFonts w:ascii="Arial"/>
                <w:sz w:val="21"/>
              </w:rPr>
            </w:pPr>
          </w:p>
          <w:p w14:paraId="6B499475">
            <w:pPr>
              <w:spacing w:line="260" w:lineRule="auto"/>
              <w:rPr>
                <w:rFonts w:ascii="Arial"/>
                <w:sz w:val="21"/>
              </w:rPr>
            </w:pPr>
          </w:p>
          <w:p w14:paraId="10A490F6">
            <w:pPr>
              <w:spacing w:line="260" w:lineRule="auto"/>
              <w:rPr>
                <w:rFonts w:ascii="Arial"/>
                <w:sz w:val="21"/>
              </w:rPr>
            </w:pPr>
          </w:p>
          <w:p w14:paraId="0584D1AC">
            <w:pPr>
              <w:spacing w:line="260" w:lineRule="auto"/>
              <w:rPr>
                <w:rFonts w:ascii="Arial"/>
                <w:sz w:val="21"/>
              </w:rPr>
            </w:pPr>
          </w:p>
          <w:p w14:paraId="155B8EC2">
            <w:pPr>
              <w:spacing w:line="260" w:lineRule="auto"/>
              <w:rPr>
                <w:rFonts w:ascii="Arial"/>
                <w:sz w:val="21"/>
              </w:rPr>
            </w:pPr>
          </w:p>
          <w:p w14:paraId="3DFFEA4E">
            <w:pPr>
              <w:spacing w:line="260" w:lineRule="auto"/>
              <w:rPr>
                <w:rFonts w:ascii="Arial"/>
                <w:sz w:val="21"/>
              </w:rPr>
            </w:pPr>
          </w:p>
          <w:p w14:paraId="1ACA7A11">
            <w:pPr>
              <w:spacing w:line="260" w:lineRule="auto"/>
              <w:rPr>
                <w:rFonts w:ascii="Arial"/>
                <w:sz w:val="21"/>
              </w:rPr>
            </w:pPr>
          </w:p>
          <w:p w14:paraId="0916EC84">
            <w:pPr>
              <w:spacing w:line="260" w:lineRule="auto"/>
              <w:rPr>
                <w:rFonts w:ascii="Arial"/>
                <w:sz w:val="21"/>
              </w:rPr>
            </w:pPr>
          </w:p>
          <w:p w14:paraId="1A961C83">
            <w:pPr>
              <w:pStyle w:val="7"/>
              <w:spacing w:before="65" w:line="434" w:lineRule="auto"/>
              <w:ind w:left="596" w:right="172" w:hanging="421"/>
            </w:pPr>
            <w:r>
              <w:rPr>
                <w:spacing w:val="8"/>
              </w:rPr>
              <w:t>售后服务方</w:t>
            </w:r>
            <w:r>
              <w:t>案</w:t>
            </w:r>
          </w:p>
        </w:tc>
        <w:tc>
          <w:tcPr>
            <w:tcW w:w="1056" w:type="dxa"/>
            <w:vAlign w:val="top"/>
          </w:tcPr>
          <w:p w14:paraId="42F4CA0B">
            <w:pPr>
              <w:spacing w:line="257" w:lineRule="auto"/>
              <w:rPr>
                <w:rFonts w:ascii="Arial"/>
                <w:sz w:val="21"/>
              </w:rPr>
            </w:pPr>
          </w:p>
          <w:p w14:paraId="056678A1">
            <w:pPr>
              <w:spacing w:line="257" w:lineRule="auto"/>
              <w:rPr>
                <w:rFonts w:ascii="Arial"/>
                <w:sz w:val="21"/>
              </w:rPr>
            </w:pPr>
          </w:p>
          <w:p w14:paraId="61D76451">
            <w:pPr>
              <w:spacing w:line="257" w:lineRule="auto"/>
              <w:rPr>
                <w:rFonts w:ascii="Arial"/>
                <w:sz w:val="21"/>
              </w:rPr>
            </w:pPr>
          </w:p>
          <w:p w14:paraId="41A6EA70">
            <w:pPr>
              <w:spacing w:line="257" w:lineRule="auto"/>
              <w:rPr>
                <w:rFonts w:ascii="Arial"/>
                <w:sz w:val="21"/>
              </w:rPr>
            </w:pPr>
          </w:p>
          <w:p w14:paraId="607F9A8C">
            <w:pPr>
              <w:spacing w:line="257" w:lineRule="auto"/>
              <w:rPr>
                <w:rFonts w:ascii="Arial"/>
                <w:sz w:val="21"/>
              </w:rPr>
            </w:pPr>
          </w:p>
          <w:p w14:paraId="165F3DA4">
            <w:pPr>
              <w:spacing w:line="258" w:lineRule="auto"/>
              <w:rPr>
                <w:rFonts w:ascii="Arial"/>
                <w:sz w:val="21"/>
              </w:rPr>
            </w:pPr>
          </w:p>
          <w:p w14:paraId="3DD2431C">
            <w:pPr>
              <w:spacing w:line="258" w:lineRule="auto"/>
              <w:rPr>
                <w:rFonts w:ascii="Arial"/>
                <w:sz w:val="21"/>
              </w:rPr>
            </w:pPr>
          </w:p>
          <w:p w14:paraId="09AA356D">
            <w:pPr>
              <w:spacing w:line="258" w:lineRule="auto"/>
              <w:rPr>
                <w:rFonts w:ascii="Arial"/>
                <w:sz w:val="21"/>
              </w:rPr>
            </w:pPr>
          </w:p>
          <w:p w14:paraId="47B88462">
            <w:pPr>
              <w:spacing w:line="258" w:lineRule="auto"/>
              <w:rPr>
                <w:rFonts w:ascii="Arial"/>
                <w:sz w:val="21"/>
              </w:rPr>
            </w:pPr>
          </w:p>
          <w:p w14:paraId="55194A1E">
            <w:pPr>
              <w:spacing w:line="258" w:lineRule="auto"/>
              <w:rPr>
                <w:rFonts w:ascii="Arial"/>
                <w:sz w:val="21"/>
              </w:rPr>
            </w:pPr>
          </w:p>
          <w:p w14:paraId="7D6090BA">
            <w:pPr>
              <w:spacing w:line="258" w:lineRule="auto"/>
              <w:rPr>
                <w:rFonts w:ascii="Arial"/>
                <w:sz w:val="21"/>
              </w:rPr>
            </w:pPr>
          </w:p>
          <w:p w14:paraId="3842C59A">
            <w:pPr>
              <w:spacing w:line="258" w:lineRule="auto"/>
              <w:rPr>
                <w:rFonts w:ascii="Arial"/>
                <w:sz w:val="21"/>
              </w:rPr>
            </w:pPr>
          </w:p>
          <w:p w14:paraId="266F7E08">
            <w:pPr>
              <w:pStyle w:val="7"/>
              <w:spacing w:before="65" w:line="228" w:lineRule="auto"/>
              <w:ind w:left="311"/>
            </w:pPr>
            <w:r>
              <w:rPr>
                <w:spacing w:val="-5"/>
              </w:rPr>
              <w:t>15</w:t>
            </w:r>
            <w:r>
              <w:rPr>
                <w:spacing w:val="-35"/>
              </w:rPr>
              <w:t xml:space="preserve"> </w:t>
            </w:r>
            <w:r>
              <w:rPr>
                <w:spacing w:val="-5"/>
              </w:rPr>
              <w:t>分</w:t>
            </w:r>
          </w:p>
        </w:tc>
        <w:tc>
          <w:tcPr>
            <w:tcW w:w="6655" w:type="dxa"/>
            <w:vAlign w:val="top"/>
          </w:tcPr>
          <w:p w14:paraId="5C6F1D12">
            <w:pPr>
              <w:pStyle w:val="7"/>
              <w:spacing w:before="131" w:line="228" w:lineRule="auto"/>
              <w:ind w:left="123"/>
            </w:pPr>
            <w:r>
              <w:rPr>
                <w:b/>
                <w:bCs/>
                <w:spacing w:val="4"/>
              </w:rPr>
              <w:t>（一）评分内容：</w:t>
            </w:r>
          </w:p>
          <w:p w14:paraId="0F0F2524">
            <w:pPr>
              <w:pStyle w:val="7"/>
              <w:spacing w:before="221" w:line="432" w:lineRule="auto"/>
              <w:ind w:left="112" w:right="86"/>
            </w:pPr>
            <w:r>
              <w:rPr>
                <w:spacing w:val="8"/>
              </w:rPr>
              <w:t>评审委员会根据参评人提供的本项目售后服务质量方案情况进行评审，包括但不限于以下内容：</w:t>
            </w:r>
          </w:p>
          <w:p w14:paraId="21857C8B">
            <w:pPr>
              <w:pStyle w:val="7"/>
              <w:spacing w:line="432" w:lineRule="auto"/>
              <w:ind w:left="112" w:right="39" w:firstLine="16"/>
            </w:pPr>
            <w:r>
              <w:t>1.售后服务响应与执行机制【包括但不限于：故障/需求响应时限（如 24</w:t>
            </w:r>
            <w:r>
              <w:rPr>
                <w:spacing w:val="7"/>
              </w:rPr>
              <w:t>小时内响应、48</w:t>
            </w:r>
            <w:r>
              <w:rPr>
                <w:spacing w:val="-27"/>
              </w:rPr>
              <w:t xml:space="preserve"> </w:t>
            </w:r>
            <w:r>
              <w:rPr>
                <w:spacing w:val="7"/>
              </w:rPr>
              <w:t>小时内上门）。服务流程规范（如预约、上门、检修、</w:t>
            </w:r>
            <w:r>
              <w:rPr>
                <w:spacing w:val="10"/>
              </w:rPr>
              <w:t>验收的全流程节点）。固定服务团队、联系人及</w:t>
            </w:r>
            <w:r>
              <w:rPr>
                <w:rFonts w:hint="eastAsia"/>
                <w:spacing w:val="10"/>
                <w:lang w:eastAsia="zh-CN"/>
              </w:rPr>
              <w:t>通信保障</w:t>
            </w:r>
            <w:r>
              <w:rPr>
                <w:spacing w:val="10"/>
              </w:rPr>
              <w:t>方案</w:t>
            </w:r>
            <w:r>
              <w:rPr>
                <w:rFonts w:hint="eastAsia"/>
                <w:spacing w:val="10"/>
                <w:lang w:eastAsia="zh-CN"/>
              </w:rPr>
              <w:t>】</w:t>
            </w:r>
          </w:p>
          <w:p w14:paraId="38C5E2D7">
            <w:pPr>
              <w:pStyle w:val="7"/>
              <w:spacing w:line="432" w:lineRule="auto"/>
              <w:ind w:left="113" w:firstLine="2"/>
            </w:pPr>
            <w:r>
              <w:rPr>
                <w:spacing w:val="4"/>
              </w:rPr>
              <w:t>2.质保与售后增值服务【清洗保养后的质保期限（如清洗后</w:t>
            </w:r>
            <w:r>
              <w:rPr>
                <w:spacing w:val="-25"/>
              </w:rPr>
              <w:t xml:space="preserve"> </w:t>
            </w:r>
            <w:r>
              <w:rPr>
                <w:spacing w:val="3"/>
              </w:rPr>
              <w:t>1-3</w:t>
            </w:r>
            <w:r>
              <w:rPr>
                <w:spacing w:val="-38"/>
              </w:rPr>
              <w:t xml:space="preserve"> </w:t>
            </w:r>
            <w:r>
              <w:rPr>
                <w:spacing w:val="3"/>
              </w:rPr>
              <w:t>个月内</w:t>
            </w:r>
            <w:r>
              <w:rPr>
                <w:spacing w:val="7"/>
              </w:rPr>
              <w:t>设备故障免费排查）</w:t>
            </w:r>
            <w:r>
              <w:rPr>
                <w:spacing w:val="-55"/>
              </w:rPr>
              <w:t xml:space="preserve"> </w:t>
            </w:r>
            <w:r>
              <w:rPr>
                <w:spacing w:val="7"/>
              </w:rPr>
              <w:t>。定期回访计划（如服务后</w:t>
            </w:r>
            <w:r>
              <w:rPr>
                <w:spacing w:val="-30"/>
              </w:rPr>
              <w:t xml:space="preserve"> </w:t>
            </w:r>
            <w:r>
              <w:rPr>
                <w:spacing w:val="7"/>
              </w:rPr>
              <w:t>7</w:t>
            </w:r>
            <w:r>
              <w:rPr>
                <w:spacing w:val="-35"/>
              </w:rPr>
              <w:t xml:space="preserve"> </w:t>
            </w:r>
            <w:r>
              <w:rPr>
                <w:spacing w:val="7"/>
              </w:rPr>
              <w:t>天、30</w:t>
            </w:r>
            <w:r>
              <w:rPr>
                <w:spacing w:val="-34"/>
              </w:rPr>
              <w:t xml:space="preserve"> </w:t>
            </w:r>
            <w:r>
              <w:rPr>
                <w:spacing w:val="7"/>
              </w:rPr>
              <w:t>天回访，确</w:t>
            </w:r>
            <w:r>
              <w:rPr>
                <w:spacing w:val="4"/>
              </w:rPr>
              <w:t>认使用效果）。额外服务方案（如设备使用维护指导、节能建议等）</w:t>
            </w:r>
            <w:r>
              <w:rPr>
                <w:rFonts w:hint="eastAsia"/>
                <w:spacing w:val="4"/>
                <w:lang w:eastAsia="zh-CN"/>
              </w:rPr>
              <w:t>】</w:t>
            </w:r>
          </w:p>
          <w:p w14:paraId="60E45DA1">
            <w:pPr>
              <w:pStyle w:val="7"/>
              <w:spacing w:before="4" w:line="431" w:lineRule="auto"/>
              <w:ind w:left="114" w:right="70" w:firstLine="3"/>
            </w:pPr>
            <w:r>
              <w:rPr>
                <w:spacing w:val="8"/>
              </w:rPr>
              <w:t>3.应急处理与投诉闭环方案【突发情况应急预案（如设备清洗后故障、</w:t>
            </w:r>
            <w:r>
              <w:rPr>
                <w:spacing w:val="6"/>
              </w:rPr>
              <w:t>大面积服务投诉的处置流程）。投诉处理时限与闭环机制（如</w:t>
            </w:r>
            <w:r>
              <w:rPr>
                <w:spacing w:val="-22"/>
              </w:rPr>
              <w:t xml:space="preserve"> </w:t>
            </w:r>
            <w:r>
              <w:rPr>
                <w:spacing w:val="6"/>
              </w:rPr>
              <w:t>3</w:t>
            </w:r>
            <w:r>
              <w:rPr>
                <w:spacing w:val="-38"/>
              </w:rPr>
              <w:t xml:space="preserve"> </w:t>
            </w:r>
            <w:r>
              <w:rPr>
                <w:spacing w:val="6"/>
              </w:rPr>
              <w:t>个工作</w:t>
            </w:r>
            <w:r>
              <w:rPr>
                <w:spacing w:val="9"/>
              </w:rPr>
              <w:t>日内办结、投诉回访率</w:t>
            </w:r>
            <w:r>
              <w:rPr>
                <w:spacing w:val="-22"/>
              </w:rPr>
              <w:t xml:space="preserve"> </w:t>
            </w:r>
            <w:r>
              <w:rPr>
                <w:spacing w:val="9"/>
              </w:rPr>
              <w:t>100%）</w:t>
            </w:r>
            <w:r>
              <w:rPr>
                <w:spacing w:val="-54"/>
              </w:rPr>
              <w:t xml:space="preserve"> </w:t>
            </w:r>
            <w:r>
              <w:rPr>
                <w:spacing w:val="9"/>
              </w:rPr>
              <w:t>。服务质量（完成时间、安全</w:t>
            </w:r>
            <w:r>
              <w:rPr>
                <w:spacing w:val="8"/>
              </w:rPr>
              <w:t>、环保）</w:t>
            </w:r>
            <w:r>
              <w:rPr>
                <w:spacing w:val="10"/>
              </w:rPr>
              <w:t>保障措施及方案（如售后满意度跟踪、不合格服务的整改方案）</w:t>
            </w:r>
            <w:r>
              <w:rPr>
                <w:rFonts w:hint="eastAsia"/>
                <w:spacing w:val="10"/>
                <w:lang w:eastAsia="zh-CN"/>
              </w:rPr>
              <w:t>】</w:t>
            </w:r>
          </w:p>
          <w:p w14:paraId="19782888">
            <w:pPr>
              <w:pStyle w:val="7"/>
              <w:spacing w:line="228" w:lineRule="auto"/>
              <w:ind w:left="123"/>
            </w:pPr>
            <w:r>
              <w:rPr>
                <w:b/>
                <w:bCs/>
                <w:spacing w:val="4"/>
              </w:rPr>
              <w:t>（二）评分标准：</w:t>
            </w:r>
          </w:p>
        </w:tc>
      </w:tr>
    </w:tbl>
    <w:p w14:paraId="03711A99">
      <w:pPr>
        <w:spacing w:before="103" w:line="188" w:lineRule="auto"/>
        <w:ind w:left="51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l9</w:t>
      </w:r>
    </w:p>
    <w:p w14:paraId="020D478A">
      <w:pPr>
        <w:spacing w:line="188" w:lineRule="auto"/>
        <w:rPr>
          <w:rFonts w:ascii="Times New Roman" w:hAnsi="Times New Roman" w:eastAsia="Times New Roman" w:cs="Times New Roman"/>
          <w:sz w:val="18"/>
          <w:szCs w:val="18"/>
        </w:rPr>
        <w:sectPr>
          <w:footerReference r:id="rId13" w:type="default"/>
          <w:pgSz w:w="11906" w:h="16839"/>
          <w:pgMar w:top="1087" w:right="690" w:bottom="400" w:left="690" w:header="810" w:footer="0" w:gutter="0"/>
          <w:cols w:space="720" w:num="1"/>
        </w:sectPr>
      </w:pPr>
    </w:p>
    <w:p w14:paraId="526975BF">
      <w:pPr>
        <w:spacing w:line="46" w:lineRule="exact"/>
      </w:pPr>
    </w:p>
    <w:tbl>
      <w:tblPr>
        <w:tblStyle w:val="8"/>
        <w:tblW w:w="10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1512"/>
        <w:gridCol w:w="938"/>
        <w:gridCol w:w="6655"/>
      </w:tblGrid>
      <w:tr w14:paraId="5007D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2" w:hRule="atLeast"/>
        </w:trPr>
        <w:tc>
          <w:tcPr>
            <w:tcW w:w="1415" w:type="dxa"/>
            <w:vAlign w:val="top"/>
          </w:tcPr>
          <w:p w14:paraId="415F6F55">
            <w:pPr>
              <w:rPr>
                <w:rFonts w:ascii="Arial"/>
                <w:sz w:val="21"/>
              </w:rPr>
            </w:pPr>
          </w:p>
        </w:tc>
        <w:tc>
          <w:tcPr>
            <w:tcW w:w="1512" w:type="dxa"/>
            <w:vAlign w:val="top"/>
          </w:tcPr>
          <w:p w14:paraId="2F113AB6">
            <w:pPr>
              <w:rPr>
                <w:rFonts w:ascii="Arial"/>
                <w:sz w:val="21"/>
              </w:rPr>
            </w:pPr>
          </w:p>
        </w:tc>
        <w:tc>
          <w:tcPr>
            <w:tcW w:w="938" w:type="dxa"/>
            <w:vAlign w:val="top"/>
          </w:tcPr>
          <w:p w14:paraId="456C3CD1">
            <w:pPr>
              <w:rPr>
                <w:rFonts w:ascii="Arial"/>
                <w:sz w:val="21"/>
              </w:rPr>
            </w:pPr>
          </w:p>
        </w:tc>
        <w:tc>
          <w:tcPr>
            <w:tcW w:w="6655" w:type="dxa"/>
            <w:vAlign w:val="top"/>
          </w:tcPr>
          <w:p w14:paraId="765C7610">
            <w:pPr>
              <w:pStyle w:val="7"/>
              <w:spacing w:before="134" w:line="432" w:lineRule="auto"/>
              <w:ind w:left="114" w:right="107" w:firstLine="1"/>
              <w:jc w:val="both"/>
            </w:pPr>
            <w:r>
              <w:rPr>
                <w:spacing w:val="6"/>
              </w:rPr>
              <w:t>投标人提供的《售后服务方案》包含上述三项考察内容的，得</w:t>
            </w:r>
            <w:r>
              <w:rPr>
                <w:spacing w:val="-26"/>
              </w:rPr>
              <w:t xml:space="preserve"> </w:t>
            </w:r>
            <w:r>
              <w:rPr>
                <w:spacing w:val="6"/>
              </w:rPr>
              <w:t>9</w:t>
            </w:r>
            <w:r>
              <w:rPr>
                <w:spacing w:val="-35"/>
              </w:rPr>
              <w:t xml:space="preserve"> </w:t>
            </w:r>
            <w:r>
              <w:rPr>
                <w:spacing w:val="6"/>
              </w:rPr>
              <w:t>分，满</w:t>
            </w:r>
            <w:r>
              <w:rPr>
                <w:spacing w:val="7"/>
              </w:rPr>
              <w:t>足以上任意两项要求得6</w:t>
            </w:r>
            <w:r>
              <w:rPr>
                <w:spacing w:val="-22"/>
              </w:rPr>
              <w:t xml:space="preserve"> </w:t>
            </w:r>
            <w:r>
              <w:rPr>
                <w:spacing w:val="7"/>
              </w:rPr>
              <w:t>分，满足以上任意一项要求得</w:t>
            </w:r>
            <w:r>
              <w:rPr>
                <w:spacing w:val="-33"/>
              </w:rPr>
              <w:t xml:space="preserve"> </w:t>
            </w:r>
            <w:r>
              <w:rPr>
                <w:spacing w:val="7"/>
              </w:rPr>
              <w:t>3</w:t>
            </w:r>
            <w:r>
              <w:rPr>
                <w:spacing w:val="-38"/>
              </w:rPr>
              <w:t xml:space="preserve"> </w:t>
            </w:r>
            <w:r>
              <w:rPr>
                <w:spacing w:val="7"/>
              </w:rPr>
              <w:t>分，未满足不</w:t>
            </w:r>
            <w:r>
              <w:rPr>
                <w:spacing w:val="2"/>
              </w:rPr>
              <w:t>得分。</w:t>
            </w:r>
          </w:p>
          <w:p w14:paraId="7E703EA0">
            <w:pPr>
              <w:pStyle w:val="7"/>
              <w:spacing w:line="226" w:lineRule="auto"/>
              <w:ind w:left="113"/>
            </w:pPr>
            <w:r>
              <w:rPr>
                <w:spacing w:val="9"/>
              </w:rPr>
              <w:t>根据各投标人提供的售后服务承诺情况进行评审比较：</w:t>
            </w:r>
          </w:p>
          <w:p w14:paraId="3D35A2AB">
            <w:pPr>
              <w:pStyle w:val="7"/>
              <w:spacing w:before="221" w:line="228" w:lineRule="auto"/>
              <w:ind w:left="129"/>
            </w:pPr>
            <w:r>
              <w:rPr>
                <w:rFonts w:hint="eastAsia"/>
                <w:spacing w:val="6"/>
                <w:lang w:eastAsia="zh-CN"/>
              </w:rPr>
              <w:t>1.</w:t>
            </w:r>
            <w:r>
              <w:rPr>
                <w:spacing w:val="6"/>
              </w:rPr>
              <w:t>售后服务承诺内容完整；</w:t>
            </w:r>
          </w:p>
          <w:p w14:paraId="5B7B7043">
            <w:pPr>
              <w:pStyle w:val="7"/>
              <w:spacing w:before="221" w:line="228" w:lineRule="auto"/>
              <w:ind w:left="116"/>
            </w:pPr>
            <w:r>
              <w:rPr>
                <w:rFonts w:hint="eastAsia"/>
                <w:spacing w:val="7"/>
                <w:lang w:eastAsia="zh-CN"/>
              </w:rPr>
              <w:t>2.</w:t>
            </w:r>
            <w:r>
              <w:rPr>
                <w:spacing w:val="7"/>
              </w:rPr>
              <w:t>售后服务承诺内容具体；</w:t>
            </w:r>
          </w:p>
          <w:p w14:paraId="60C7FB46">
            <w:pPr>
              <w:pStyle w:val="7"/>
              <w:spacing w:before="221" w:line="228" w:lineRule="auto"/>
              <w:ind w:left="117"/>
            </w:pPr>
            <w:r>
              <w:rPr>
                <w:rFonts w:hint="eastAsia"/>
                <w:spacing w:val="7"/>
                <w:lang w:eastAsia="zh-CN"/>
              </w:rPr>
              <w:t>3.</w:t>
            </w:r>
            <w:r>
              <w:rPr>
                <w:spacing w:val="7"/>
              </w:rPr>
              <w:t>售后服务承诺内容合理；</w:t>
            </w:r>
          </w:p>
          <w:p w14:paraId="30B5080F">
            <w:pPr>
              <w:pStyle w:val="7"/>
              <w:spacing w:before="221" w:line="228" w:lineRule="auto"/>
              <w:ind w:left="112"/>
            </w:pPr>
            <w:r>
              <w:rPr>
                <w:rFonts w:hint="eastAsia"/>
                <w:spacing w:val="8"/>
                <w:lang w:eastAsia="zh-CN"/>
              </w:rPr>
              <w:t>4.</w:t>
            </w:r>
            <w:r>
              <w:rPr>
                <w:spacing w:val="8"/>
              </w:rPr>
              <w:t>售后服务承诺内容可行性强；</w:t>
            </w:r>
          </w:p>
          <w:p w14:paraId="0B0DB452">
            <w:pPr>
              <w:pStyle w:val="7"/>
              <w:spacing w:before="221" w:line="390" w:lineRule="auto"/>
              <w:ind w:left="112" w:right="110"/>
              <w:jc w:val="both"/>
            </w:pPr>
            <w:r>
              <w:rPr>
                <w:spacing w:val="9"/>
              </w:rPr>
              <w:t>满足以上四项要求加6</w:t>
            </w:r>
            <w:r>
              <w:rPr>
                <w:spacing w:val="-25"/>
              </w:rPr>
              <w:t xml:space="preserve"> </w:t>
            </w:r>
            <w:r>
              <w:rPr>
                <w:spacing w:val="9"/>
              </w:rPr>
              <w:t>分，满足以上任意三项要求加4.5</w:t>
            </w:r>
            <w:r>
              <w:rPr>
                <w:spacing w:val="-38"/>
              </w:rPr>
              <w:t xml:space="preserve"> </w:t>
            </w:r>
            <w:r>
              <w:rPr>
                <w:spacing w:val="9"/>
              </w:rPr>
              <w:t>分，满足以上</w:t>
            </w:r>
            <w:r>
              <w:rPr>
                <w:spacing w:val="5"/>
              </w:rPr>
              <w:t>任意两项要求加</w:t>
            </w:r>
            <w:r>
              <w:rPr>
                <w:spacing w:val="-35"/>
              </w:rPr>
              <w:t xml:space="preserve"> </w:t>
            </w:r>
            <w:r>
              <w:rPr>
                <w:spacing w:val="5"/>
              </w:rPr>
              <w:t>3</w:t>
            </w:r>
            <w:r>
              <w:rPr>
                <w:spacing w:val="-36"/>
              </w:rPr>
              <w:t xml:space="preserve"> </w:t>
            </w:r>
            <w:r>
              <w:rPr>
                <w:spacing w:val="5"/>
              </w:rPr>
              <w:t>分，满足以上任意一项要求加</w:t>
            </w:r>
            <w:r>
              <w:rPr>
                <w:spacing w:val="-23"/>
              </w:rPr>
              <w:t xml:space="preserve"> </w:t>
            </w:r>
            <w:r>
              <w:rPr>
                <w:spacing w:val="5"/>
              </w:rPr>
              <w:t>1.5</w:t>
            </w:r>
            <w:r>
              <w:rPr>
                <w:spacing w:val="-38"/>
              </w:rPr>
              <w:t xml:space="preserve"> </w:t>
            </w:r>
            <w:r>
              <w:rPr>
                <w:spacing w:val="5"/>
              </w:rPr>
              <w:t>分，</w:t>
            </w:r>
            <w:r>
              <w:rPr>
                <w:rFonts w:hint="eastAsia"/>
                <w:spacing w:val="5"/>
                <w:lang w:eastAsia="zh-CN"/>
              </w:rPr>
              <w:t>其他情况</w:t>
            </w:r>
            <w:r>
              <w:rPr>
                <w:spacing w:val="4"/>
              </w:rPr>
              <w:t>不得</w:t>
            </w:r>
            <w:r>
              <w:rPr>
                <w:spacing w:val="8"/>
              </w:rPr>
              <w:t>分，并需专家说明不得分理由。</w:t>
            </w:r>
          </w:p>
        </w:tc>
      </w:tr>
      <w:tr w14:paraId="3E945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15" w:type="dxa"/>
            <w:vMerge w:val="restart"/>
            <w:tcBorders>
              <w:bottom w:val="nil"/>
            </w:tcBorders>
            <w:vAlign w:val="top"/>
          </w:tcPr>
          <w:p w14:paraId="04304DA6">
            <w:pPr>
              <w:spacing w:line="250" w:lineRule="auto"/>
              <w:rPr>
                <w:rFonts w:ascii="Arial"/>
                <w:sz w:val="21"/>
              </w:rPr>
            </w:pPr>
          </w:p>
          <w:p w14:paraId="51957781">
            <w:pPr>
              <w:spacing w:line="250" w:lineRule="auto"/>
              <w:rPr>
                <w:rFonts w:ascii="Arial"/>
                <w:sz w:val="21"/>
              </w:rPr>
            </w:pPr>
          </w:p>
          <w:p w14:paraId="619EBF90">
            <w:pPr>
              <w:spacing w:line="250" w:lineRule="auto"/>
              <w:rPr>
                <w:rFonts w:ascii="Arial"/>
                <w:sz w:val="21"/>
              </w:rPr>
            </w:pPr>
          </w:p>
          <w:p w14:paraId="56AFD661">
            <w:pPr>
              <w:spacing w:line="250" w:lineRule="auto"/>
              <w:rPr>
                <w:rFonts w:ascii="Arial"/>
                <w:sz w:val="21"/>
              </w:rPr>
            </w:pPr>
          </w:p>
          <w:p w14:paraId="4A6E35B0">
            <w:pPr>
              <w:spacing w:line="250" w:lineRule="auto"/>
              <w:rPr>
                <w:rFonts w:ascii="Arial"/>
                <w:sz w:val="21"/>
              </w:rPr>
            </w:pPr>
          </w:p>
          <w:p w14:paraId="681FF49D">
            <w:pPr>
              <w:spacing w:line="250" w:lineRule="auto"/>
              <w:rPr>
                <w:rFonts w:ascii="Arial"/>
                <w:sz w:val="21"/>
              </w:rPr>
            </w:pPr>
          </w:p>
          <w:p w14:paraId="71178C66">
            <w:pPr>
              <w:spacing w:line="250" w:lineRule="auto"/>
              <w:rPr>
                <w:rFonts w:ascii="Arial"/>
                <w:sz w:val="21"/>
              </w:rPr>
            </w:pPr>
          </w:p>
          <w:p w14:paraId="00AB0768">
            <w:pPr>
              <w:spacing w:line="250" w:lineRule="auto"/>
              <w:rPr>
                <w:rFonts w:ascii="Arial"/>
                <w:sz w:val="21"/>
              </w:rPr>
            </w:pPr>
          </w:p>
          <w:p w14:paraId="3EDE4FE0">
            <w:pPr>
              <w:spacing w:line="250" w:lineRule="auto"/>
              <w:rPr>
                <w:rFonts w:ascii="Arial"/>
                <w:sz w:val="21"/>
              </w:rPr>
            </w:pPr>
          </w:p>
          <w:p w14:paraId="70D9816F">
            <w:pPr>
              <w:spacing w:line="250" w:lineRule="auto"/>
              <w:rPr>
                <w:rFonts w:ascii="Arial"/>
                <w:sz w:val="21"/>
              </w:rPr>
            </w:pPr>
          </w:p>
          <w:p w14:paraId="147AA295">
            <w:pPr>
              <w:spacing w:line="250" w:lineRule="auto"/>
              <w:rPr>
                <w:rFonts w:ascii="Arial"/>
                <w:sz w:val="21"/>
              </w:rPr>
            </w:pPr>
          </w:p>
          <w:p w14:paraId="10AB87B6">
            <w:pPr>
              <w:spacing w:line="251" w:lineRule="auto"/>
              <w:rPr>
                <w:rFonts w:ascii="Arial"/>
                <w:sz w:val="21"/>
              </w:rPr>
            </w:pPr>
          </w:p>
          <w:p w14:paraId="3CE36132">
            <w:pPr>
              <w:spacing w:line="251" w:lineRule="auto"/>
              <w:rPr>
                <w:rFonts w:ascii="Arial"/>
                <w:sz w:val="21"/>
              </w:rPr>
            </w:pPr>
          </w:p>
          <w:p w14:paraId="2FD22480">
            <w:pPr>
              <w:spacing w:line="251" w:lineRule="auto"/>
              <w:rPr>
                <w:rFonts w:ascii="Arial"/>
                <w:sz w:val="21"/>
              </w:rPr>
            </w:pPr>
          </w:p>
          <w:p w14:paraId="03B83A7E">
            <w:pPr>
              <w:spacing w:line="251" w:lineRule="auto"/>
              <w:rPr>
                <w:rFonts w:ascii="Arial"/>
                <w:sz w:val="21"/>
              </w:rPr>
            </w:pPr>
          </w:p>
          <w:p w14:paraId="388B2EE7">
            <w:pPr>
              <w:spacing w:line="251" w:lineRule="auto"/>
              <w:rPr>
                <w:rFonts w:ascii="Arial"/>
                <w:sz w:val="21"/>
              </w:rPr>
            </w:pPr>
          </w:p>
          <w:p w14:paraId="78D54584">
            <w:pPr>
              <w:spacing w:line="251" w:lineRule="auto"/>
              <w:rPr>
                <w:rFonts w:ascii="Arial"/>
                <w:sz w:val="21"/>
              </w:rPr>
            </w:pPr>
          </w:p>
          <w:p w14:paraId="1655C2A5">
            <w:pPr>
              <w:pStyle w:val="7"/>
              <w:spacing w:before="65" w:line="434" w:lineRule="auto"/>
              <w:ind w:left="275" w:right="280" w:firstLine="20"/>
            </w:pPr>
            <w:r>
              <w:rPr>
                <w:spacing w:val="6"/>
              </w:rPr>
              <w:t>商务评分</w:t>
            </w:r>
            <w:r>
              <w:rPr>
                <w:spacing w:val="-2"/>
              </w:rPr>
              <w:t>（45</w:t>
            </w:r>
            <w:r>
              <w:rPr>
                <w:spacing w:val="-37"/>
              </w:rPr>
              <w:t xml:space="preserve"> </w:t>
            </w:r>
            <w:r>
              <w:rPr>
                <w:spacing w:val="-2"/>
              </w:rPr>
              <w:t>分）</w:t>
            </w:r>
          </w:p>
        </w:tc>
        <w:tc>
          <w:tcPr>
            <w:tcW w:w="1512" w:type="dxa"/>
            <w:vAlign w:val="top"/>
          </w:tcPr>
          <w:p w14:paraId="552FDA31">
            <w:pPr>
              <w:spacing w:line="255" w:lineRule="auto"/>
              <w:rPr>
                <w:rFonts w:ascii="Arial"/>
                <w:sz w:val="21"/>
              </w:rPr>
            </w:pPr>
          </w:p>
          <w:p w14:paraId="005DDDFD">
            <w:pPr>
              <w:spacing w:line="255" w:lineRule="auto"/>
              <w:rPr>
                <w:rFonts w:ascii="Arial"/>
                <w:sz w:val="21"/>
              </w:rPr>
            </w:pPr>
          </w:p>
          <w:p w14:paraId="422623B2">
            <w:pPr>
              <w:spacing w:line="255" w:lineRule="auto"/>
              <w:rPr>
                <w:rFonts w:ascii="Arial"/>
                <w:sz w:val="21"/>
              </w:rPr>
            </w:pPr>
          </w:p>
          <w:p w14:paraId="65BF26A0">
            <w:pPr>
              <w:spacing w:line="255" w:lineRule="auto"/>
              <w:rPr>
                <w:rFonts w:ascii="Arial"/>
                <w:sz w:val="21"/>
              </w:rPr>
            </w:pPr>
          </w:p>
          <w:p w14:paraId="4FA1039D">
            <w:pPr>
              <w:spacing w:line="255" w:lineRule="auto"/>
              <w:rPr>
                <w:rFonts w:ascii="Arial"/>
                <w:sz w:val="21"/>
              </w:rPr>
            </w:pPr>
          </w:p>
          <w:p w14:paraId="4FF4707D">
            <w:pPr>
              <w:spacing w:line="255" w:lineRule="auto"/>
              <w:rPr>
                <w:rFonts w:ascii="Arial"/>
                <w:sz w:val="21"/>
              </w:rPr>
            </w:pPr>
          </w:p>
          <w:p w14:paraId="0B76EF98">
            <w:pPr>
              <w:spacing w:line="255" w:lineRule="auto"/>
              <w:rPr>
                <w:rFonts w:ascii="Arial"/>
                <w:sz w:val="21"/>
              </w:rPr>
            </w:pPr>
          </w:p>
          <w:p w14:paraId="32AAC4DA">
            <w:pPr>
              <w:spacing w:line="256" w:lineRule="auto"/>
              <w:rPr>
                <w:rFonts w:ascii="Arial"/>
                <w:sz w:val="21"/>
              </w:rPr>
            </w:pPr>
          </w:p>
          <w:p w14:paraId="2783A273">
            <w:pPr>
              <w:spacing w:line="256" w:lineRule="auto"/>
              <w:rPr>
                <w:rFonts w:ascii="Arial"/>
                <w:sz w:val="21"/>
              </w:rPr>
            </w:pPr>
          </w:p>
          <w:p w14:paraId="673A88BA">
            <w:pPr>
              <w:spacing w:line="256" w:lineRule="auto"/>
              <w:rPr>
                <w:rFonts w:ascii="Arial"/>
                <w:sz w:val="21"/>
              </w:rPr>
            </w:pPr>
          </w:p>
          <w:p w14:paraId="3681DDC7">
            <w:pPr>
              <w:spacing w:line="256" w:lineRule="auto"/>
              <w:rPr>
                <w:rFonts w:ascii="Arial"/>
                <w:sz w:val="21"/>
              </w:rPr>
            </w:pPr>
          </w:p>
          <w:p w14:paraId="589FEC8A">
            <w:pPr>
              <w:spacing w:line="256" w:lineRule="auto"/>
              <w:rPr>
                <w:rFonts w:ascii="Arial"/>
                <w:sz w:val="21"/>
              </w:rPr>
            </w:pPr>
          </w:p>
          <w:p w14:paraId="13991DBC">
            <w:pPr>
              <w:spacing w:line="256" w:lineRule="auto"/>
              <w:rPr>
                <w:rFonts w:ascii="Arial"/>
                <w:sz w:val="21"/>
              </w:rPr>
            </w:pPr>
          </w:p>
          <w:p w14:paraId="11407794">
            <w:pPr>
              <w:pStyle w:val="7"/>
              <w:spacing w:before="65" w:line="228" w:lineRule="auto"/>
              <w:ind w:left="177"/>
            </w:pPr>
            <w:r>
              <w:rPr>
                <w:spacing w:val="7"/>
              </w:rPr>
              <w:t>参评人同类</w:t>
            </w:r>
          </w:p>
          <w:p w14:paraId="72FA538B">
            <w:pPr>
              <w:pStyle w:val="7"/>
              <w:spacing w:before="221" w:line="228" w:lineRule="auto"/>
              <w:ind w:left="178"/>
            </w:pPr>
            <w:r>
              <w:rPr>
                <w:spacing w:val="7"/>
              </w:rPr>
              <w:t>项目业绩情</w:t>
            </w:r>
          </w:p>
          <w:p w14:paraId="7860782F">
            <w:pPr>
              <w:pStyle w:val="7"/>
              <w:spacing w:before="220" w:line="228" w:lineRule="auto"/>
              <w:ind w:left="597"/>
            </w:pPr>
            <w:r>
              <w:t>况</w:t>
            </w:r>
          </w:p>
        </w:tc>
        <w:tc>
          <w:tcPr>
            <w:tcW w:w="938" w:type="dxa"/>
            <w:vAlign w:val="top"/>
          </w:tcPr>
          <w:p w14:paraId="37868E8A">
            <w:pPr>
              <w:spacing w:line="252" w:lineRule="auto"/>
              <w:rPr>
                <w:rFonts w:ascii="Arial"/>
                <w:sz w:val="21"/>
              </w:rPr>
            </w:pPr>
          </w:p>
          <w:p w14:paraId="74112327">
            <w:pPr>
              <w:spacing w:line="252" w:lineRule="auto"/>
              <w:rPr>
                <w:rFonts w:ascii="Arial"/>
                <w:sz w:val="21"/>
              </w:rPr>
            </w:pPr>
          </w:p>
          <w:p w14:paraId="10E36EAE">
            <w:pPr>
              <w:spacing w:line="252" w:lineRule="auto"/>
              <w:rPr>
                <w:rFonts w:ascii="Arial"/>
                <w:sz w:val="21"/>
              </w:rPr>
            </w:pPr>
          </w:p>
          <w:p w14:paraId="32B7AB0B">
            <w:pPr>
              <w:spacing w:line="252" w:lineRule="auto"/>
              <w:rPr>
                <w:rFonts w:ascii="Arial"/>
                <w:sz w:val="21"/>
              </w:rPr>
            </w:pPr>
          </w:p>
          <w:p w14:paraId="2BA35201">
            <w:pPr>
              <w:spacing w:line="252" w:lineRule="auto"/>
              <w:rPr>
                <w:rFonts w:ascii="Arial"/>
                <w:sz w:val="21"/>
              </w:rPr>
            </w:pPr>
          </w:p>
          <w:p w14:paraId="5725B50F">
            <w:pPr>
              <w:spacing w:line="252" w:lineRule="auto"/>
              <w:rPr>
                <w:rFonts w:ascii="Arial"/>
                <w:sz w:val="21"/>
              </w:rPr>
            </w:pPr>
          </w:p>
          <w:p w14:paraId="6E164340">
            <w:pPr>
              <w:spacing w:line="252" w:lineRule="auto"/>
              <w:rPr>
                <w:rFonts w:ascii="Arial"/>
                <w:sz w:val="21"/>
              </w:rPr>
            </w:pPr>
          </w:p>
          <w:p w14:paraId="08F78156">
            <w:pPr>
              <w:spacing w:line="252" w:lineRule="auto"/>
              <w:rPr>
                <w:rFonts w:ascii="Arial"/>
                <w:sz w:val="21"/>
              </w:rPr>
            </w:pPr>
          </w:p>
          <w:p w14:paraId="38D43843">
            <w:pPr>
              <w:spacing w:line="253" w:lineRule="auto"/>
              <w:rPr>
                <w:rFonts w:ascii="Arial"/>
                <w:sz w:val="21"/>
              </w:rPr>
            </w:pPr>
          </w:p>
          <w:p w14:paraId="79887675">
            <w:pPr>
              <w:spacing w:line="253" w:lineRule="auto"/>
              <w:rPr>
                <w:rFonts w:ascii="Arial"/>
                <w:sz w:val="21"/>
              </w:rPr>
            </w:pPr>
          </w:p>
          <w:p w14:paraId="7197FB90">
            <w:pPr>
              <w:spacing w:line="253" w:lineRule="auto"/>
              <w:rPr>
                <w:rFonts w:ascii="Arial"/>
                <w:sz w:val="21"/>
              </w:rPr>
            </w:pPr>
          </w:p>
          <w:p w14:paraId="6AC740FD">
            <w:pPr>
              <w:spacing w:line="253" w:lineRule="auto"/>
              <w:rPr>
                <w:rFonts w:ascii="Arial"/>
                <w:sz w:val="21"/>
              </w:rPr>
            </w:pPr>
          </w:p>
          <w:p w14:paraId="67429A4E">
            <w:pPr>
              <w:spacing w:line="253" w:lineRule="auto"/>
              <w:rPr>
                <w:rFonts w:ascii="Arial"/>
                <w:sz w:val="21"/>
              </w:rPr>
            </w:pPr>
          </w:p>
          <w:p w14:paraId="690E2DC3">
            <w:pPr>
              <w:spacing w:line="253" w:lineRule="auto"/>
              <w:rPr>
                <w:rFonts w:ascii="Arial"/>
                <w:sz w:val="21"/>
              </w:rPr>
            </w:pPr>
          </w:p>
          <w:p w14:paraId="36072FEA">
            <w:pPr>
              <w:spacing w:line="253" w:lineRule="auto"/>
              <w:rPr>
                <w:rFonts w:ascii="Arial"/>
                <w:sz w:val="21"/>
              </w:rPr>
            </w:pPr>
          </w:p>
          <w:p w14:paraId="62CCE728">
            <w:pPr>
              <w:pStyle w:val="7"/>
              <w:spacing w:before="65" w:line="228" w:lineRule="auto"/>
              <w:ind w:left="311"/>
            </w:pPr>
            <w:r>
              <w:rPr>
                <w:spacing w:val="-5"/>
              </w:rPr>
              <w:t>16</w:t>
            </w:r>
            <w:r>
              <w:rPr>
                <w:spacing w:val="-35"/>
              </w:rPr>
              <w:t xml:space="preserve"> </w:t>
            </w:r>
            <w:r>
              <w:rPr>
                <w:spacing w:val="-5"/>
              </w:rPr>
              <w:t>分</w:t>
            </w:r>
          </w:p>
        </w:tc>
        <w:tc>
          <w:tcPr>
            <w:tcW w:w="6655" w:type="dxa"/>
            <w:vAlign w:val="top"/>
          </w:tcPr>
          <w:p w14:paraId="26FF9F52">
            <w:pPr>
              <w:pStyle w:val="7"/>
              <w:spacing w:before="130" w:line="228" w:lineRule="auto"/>
              <w:ind w:left="123"/>
            </w:pPr>
            <w:r>
              <w:rPr>
                <w:b/>
                <w:bCs/>
                <w:spacing w:val="4"/>
              </w:rPr>
              <w:t>（一）评分内容：</w:t>
            </w:r>
          </w:p>
          <w:p w14:paraId="0B1EEE2D">
            <w:pPr>
              <w:pStyle w:val="7"/>
              <w:spacing w:before="221" w:line="432" w:lineRule="auto"/>
              <w:ind w:left="113" w:right="22" w:firstLine="15"/>
            </w:pPr>
            <w:r>
              <w:rPr>
                <w:rFonts w:hint="eastAsia"/>
                <w:spacing w:val="3"/>
                <w:lang w:eastAsia="zh-CN"/>
              </w:rPr>
              <w:t>1.</w:t>
            </w:r>
            <w:r>
              <w:rPr>
                <w:spacing w:val="3"/>
              </w:rPr>
              <w:t>2022</w:t>
            </w:r>
            <w:r>
              <w:rPr>
                <w:spacing w:val="-28"/>
              </w:rPr>
              <w:t xml:space="preserve"> </w:t>
            </w:r>
            <w:r>
              <w:rPr>
                <w:spacing w:val="3"/>
              </w:rPr>
              <w:t>年</w:t>
            </w:r>
            <w:r>
              <w:rPr>
                <w:spacing w:val="-24"/>
              </w:rPr>
              <w:t xml:space="preserve"> </w:t>
            </w:r>
            <w:r>
              <w:rPr>
                <w:spacing w:val="3"/>
              </w:rPr>
              <w:t>11</w:t>
            </w:r>
            <w:r>
              <w:rPr>
                <w:spacing w:val="-32"/>
              </w:rPr>
              <w:t xml:space="preserve"> </w:t>
            </w:r>
            <w:r>
              <w:rPr>
                <w:spacing w:val="3"/>
              </w:rPr>
              <w:t>月</w:t>
            </w:r>
            <w:r>
              <w:rPr>
                <w:spacing w:val="-24"/>
              </w:rPr>
              <w:t xml:space="preserve"> </w:t>
            </w:r>
            <w:r>
              <w:rPr>
                <w:spacing w:val="3"/>
              </w:rPr>
              <w:t>1 日起至本项目投标截止日止（以合同签订时间为准）</w:t>
            </w:r>
            <w:r>
              <w:rPr>
                <w:spacing w:val="7"/>
              </w:rPr>
              <w:t>所承接的同类空调通风系统清洗消毒类项目（至少包含中央空调和挂机空调</w:t>
            </w:r>
            <w:r>
              <w:rPr>
                <w:spacing w:val="19"/>
              </w:rPr>
              <w:t>），</w:t>
            </w:r>
            <w:r>
              <w:rPr>
                <w:spacing w:val="7"/>
              </w:rPr>
              <w:t>每满足</w:t>
            </w:r>
            <w:r>
              <w:rPr>
                <w:spacing w:val="-24"/>
              </w:rPr>
              <w:t xml:space="preserve"> </w:t>
            </w:r>
            <w:r>
              <w:rPr>
                <w:spacing w:val="7"/>
              </w:rPr>
              <w:t>1</w:t>
            </w:r>
            <w:r>
              <w:rPr>
                <w:spacing w:val="-37"/>
              </w:rPr>
              <w:t xml:space="preserve"> </w:t>
            </w:r>
            <w:r>
              <w:rPr>
                <w:spacing w:val="7"/>
              </w:rPr>
              <w:t>个得</w:t>
            </w:r>
            <w:r>
              <w:rPr>
                <w:spacing w:val="-35"/>
              </w:rPr>
              <w:t xml:space="preserve"> </w:t>
            </w:r>
            <w:r>
              <w:rPr>
                <w:spacing w:val="7"/>
              </w:rPr>
              <w:t>2</w:t>
            </w:r>
            <w:r>
              <w:rPr>
                <w:spacing w:val="-35"/>
              </w:rPr>
              <w:t xml:space="preserve"> </w:t>
            </w:r>
            <w:r>
              <w:rPr>
                <w:spacing w:val="7"/>
              </w:rPr>
              <w:t>分，最高得8</w:t>
            </w:r>
            <w:r>
              <w:rPr>
                <w:spacing w:val="-36"/>
              </w:rPr>
              <w:t xml:space="preserve"> </w:t>
            </w:r>
            <w:r>
              <w:rPr>
                <w:spacing w:val="7"/>
              </w:rPr>
              <w:t>分，未提供不得分。</w:t>
            </w:r>
          </w:p>
          <w:p w14:paraId="25B227EC">
            <w:pPr>
              <w:pStyle w:val="7"/>
              <w:spacing w:before="3" w:line="431" w:lineRule="auto"/>
              <w:ind w:left="113" w:right="22" w:firstLine="2"/>
            </w:pPr>
            <w:r>
              <w:rPr>
                <w:rFonts w:hint="eastAsia"/>
                <w:spacing w:val="4"/>
                <w:lang w:eastAsia="zh-CN"/>
              </w:rPr>
              <w:t>2.</w:t>
            </w:r>
            <w:r>
              <w:rPr>
                <w:spacing w:val="4"/>
              </w:rPr>
              <w:t>2022</w:t>
            </w:r>
            <w:r>
              <w:rPr>
                <w:spacing w:val="-40"/>
              </w:rPr>
              <w:t xml:space="preserve"> </w:t>
            </w:r>
            <w:r>
              <w:rPr>
                <w:spacing w:val="4"/>
              </w:rPr>
              <w:t>年</w:t>
            </w:r>
            <w:r>
              <w:rPr>
                <w:spacing w:val="-24"/>
              </w:rPr>
              <w:t xml:space="preserve"> </w:t>
            </w:r>
            <w:r>
              <w:rPr>
                <w:spacing w:val="4"/>
              </w:rPr>
              <w:t>11</w:t>
            </w:r>
            <w:r>
              <w:rPr>
                <w:spacing w:val="-32"/>
              </w:rPr>
              <w:t xml:space="preserve"> </w:t>
            </w:r>
            <w:r>
              <w:rPr>
                <w:spacing w:val="4"/>
              </w:rPr>
              <w:t>月</w:t>
            </w:r>
            <w:r>
              <w:rPr>
                <w:spacing w:val="-24"/>
              </w:rPr>
              <w:t xml:space="preserve"> </w:t>
            </w:r>
            <w:r>
              <w:rPr>
                <w:spacing w:val="4"/>
              </w:rPr>
              <w:t>1 日起至本项目投标截止日止（</w:t>
            </w:r>
            <w:r>
              <w:rPr>
                <w:spacing w:val="3"/>
              </w:rPr>
              <w:t>以合同签订时间为准）</w:t>
            </w:r>
            <w:r>
              <w:rPr>
                <w:spacing w:val="9"/>
              </w:rPr>
              <w:t>所承接的同类空调维护保养类项目（至少包含中央空调和挂机空调</w:t>
            </w:r>
            <w:r>
              <w:rPr>
                <w:spacing w:val="25"/>
              </w:rPr>
              <w:t>），</w:t>
            </w:r>
            <w:r>
              <w:rPr>
                <w:spacing w:val="7"/>
              </w:rPr>
              <w:t>每满足</w:t>
            </w:r>
            <w:r>
              <w:rPr>
                <w:spacing w:val="-12"/>
              </w:rPr>
              <w:t xml:space="preserve"> </w:t>
            </w:r>
            <w:r>
              <w:rPr>
                <w:spacing w:val="7"/>
              </w:rPr>
              <w:t>1</w:t>
            </w:r>
            <w:r>
              <w:rPr>
                <w:spacing w:val="-37"/>
              </w:rPr>
              <w:t xml:space="preserve"> </w:t>
            </w:r>
            <w:r>
              <w:rPr>
                <w:spacing w:val="7"/>
              </w:rPr>
              <w:t>个得</w:t>
            </w:r>
            <w:r>
              <w:rPr>
                <w:spacing w:val="-35"/>
              </w:rPr>
              <w:t xml:space="preserve"> </w:t>
            </w:r>
            <w:r>
              <w:rPr>
                <w:spacing w:val="7"/>
              </w:rPr>
              <w:t>2</w:t>
            </w:r>
            <w:r>
              <w:rPr>
                <w:spacing w:val="-35"/>
              </w:rPr>
              <w:t xml:space="preserve"> </w:t>
            </w:r>
            <w:r>
              <w:rPr>
                <w:spacing w:val="7"/>
              </w:rPr>
              <w:t>分，最高得8</w:t>
            </w:r>
            <w:r>
              <w:rPr>
                <w:spacing w:val="-36"/>
              </w:rPr>
              <w:t xml:space="preserve"> </w:t>
            </w:r>
            <w:r>
              <w:rPr>
                <w:spacing w:val="7"/>
              </w:rPr>
              <w:t>分，未提供不得分。</w:t>
            </w:r>
          </w:p>
          <w:p w14:paraId="5996F831">
            <w:pPr>
              <w:pStyle w:val="7"/>
              <w:spacing w:line="228" w:lineRule="auto"/>
              <w:ind w:left="117"/>
            </w:pPr>
            <w:r>
              <w:rPr>
                <w:spacing w:val="4"/>
              </w:rPr>
              <w:t>3.以上两项累计不超过</w:t>
            </w:r>
            <w:r>
              <w:rPr>
                <w:spacing w:val="-13"/>
              </w:rPr>
              <w:t xml:space="preserve"> </w:t>
            </w:r>
            <w:r>
              <w:rPr>
                <w:spacing w:val="4"/>
              </w:rPr>
              <w:t>16</w:t>
            </w:r>
            <w:r>
              <w:rPr>
                <w:spacing w:val="-37"/>
              </w:rPr>
              <w:t xml:space="preserve"> </w:t>
            </w:r>
            <w:r>
              <w:rPr>
                <w:spacing w:val="4"/>
              </w:rPr>
              <w:t>分。</w:t>
            </w:r>
          </w:p>
          <w:p w14:paraId="3EBA36E3">
            <w:pPr>
              <w:pStyle w:val="7"/>
              <w:spacing w:before="220" w:line="227" w:lineRule="auto"/>
              <w:ind w:left="123"/>
            </w:pPr>
            <w:r>
              <w:rPr>
                <w:b/>
                <w:bCs/>
                <w:spacing w:val="4"/>
              </w:rPr>
              <w:t>（二）评分依据：</w:t>
            </w:r>
          </w:p>
          <w:p w14:paraId="7F6555DE">
            <w:pPr>
              <w:pStyle w:val="7"/>
              <w:spacing w:before="222" w:line="432" w:lineRule="auto"/>
              <w:ind w:left="113" w:right="39" w:firstLine="15"/>
            </w:pPr>
            <w:r>
              <w:rPr>
                <w:spacing w:val="2"/>
              </w:rPr>
              <w:t>1.要求提供合同关键信息（关键信息包括但不限于合同主体、服务内容、</w:t>
            </w:r>
            <w:r>
              <w:rPr>
                <w:spacing w:val="8"/>
              </w:rPr>
              <w:t>服务期限、合同签署日期、</w:t>
            </w:r>
            <w:r>
              <w:rPr>
                <w:spacing w:val="-57"/>
              </w:rPr>
              <w:t xml:space="preserve"> </w:t>
            </w:r>
            <w:r>
              <w:rPr>
                <w:spacing w:val="8"/>
              </w:rPr>
              <w:t>甲乙双方盖章签订页等）作为得</w:t>
            </w:r>
            <w:r>
              <w:rPr>
                <w:spacing w:val="7"/>
              </w:rPr>
              <w:t>分依据。</w:t>
            </w:r>
          </w:p>
          <w:p w14:paraId="0714D127">
            <w:pPr>
              <w:pStyle w:val="7"/>
              <w:spacing w:line="432" w:lineRule="auto"/>
              <w:ind w:left="114" w:right="110" w:firstLine="1"/>
            </w:pPr>
            <w:r>
              <w:rPr>
                <w:spacing w:val="7"/>
              </w:rPr>
              <w:t>2.通过合同关键信息无法判断是否得分的，还须同时提供能证明得</w:t>
            </w:r>
            <w:r>
              <w:rPr>
                <w:spacing w:val="6"/>
              </w:rPr>
              <w:t>分的</w:t>
            </w:r>
            <w:r>
              <w:rPr>
                <w:rFonts w:hint="eastAsia"/>
                <w:spacing w:val="6"/>
                <w:lang w:eastAsia="zh-CN"/>
              </w:rPr>
              <w:t>其他证明</w:t>
            </w:r>
            <w:r>
              <w:rPr>
                <w:spacing w:val="8"/>
              </w:rPr>
              <w:t>资料，如项目报告等。</w:t>
            </w:r>
          </w:p>
          <w:p w14:paraId="40D9CAC0">
            <w:pPr>
              <w:pStyle w:val="7"/>
              <w:spacing w:line="432" w:lineRule="auto"/>
              <w:ind w:left="113" w:right="107" w:firstLine="4"/>
            </w:pPr>
            <w:r>
              <w:rPr>
                <w:spacing w:val="7"/>
              </w:rPr>
              <w:t>3.以上资料均要求提供扫描件或</w:t>
            </w:r>
            <w:r>
              <w:rPr>
                <w:rFonts w:hint="eastAsia"/>
                <w:spacing w:val="7"/>
                <w:lang w:eastAsia="zh-CN"/>
              </w:rPr>
              <w:t>复印件并加盖</w:t>
            </w:r>
            <w:r>
              <w:rPr>
                <w:spacing w:val="7"/>
              </w:rPr>
              <w:t>投标人公章，原件备查。评分中出现无证明资料或专家无法凭所提供资料判断是否得分的情况，一律作不得分处理。</w:t>
            </w:r>
          </w:p>
          <w:p w14:paraId="3E5CB284">
            <w:pPr>
              <w:pStyle w:val="7"/>
              <w:spacing w:before="1" w:line="227" w:lineRule="auto"/>
              <w:ind w:left="112"/>
            </w:pPr>
            <w:r>
              <w:rPr>
                <w:spacing w:val="8"/>
              </w:rPr>
              <w:t>4.续签类合同只</w:t>
            </w:r>
            <w:r>
              <w:rPr>
                <w:rFonts w:hint="eastAsia"/>
                <w:spacing w:val="8"/>
                <w:lang w:eastAsia="zh-CN"/>
              </w:rPr>
              <w:t>作为</w:t>
            </w:r>
            <w:r>
              <w:rPr>
                <w:spacing w:val="8"/>
              </w:rPr>
              <w:t>一个有效合同参与评分。</w:t>
            </w:r>
          </w:p>
        </w:tc>
      </w:tr>
      <w:tr w14:paraId="62542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1" w:hRule="atLeast"/>
        </w:trPr>
        <w:tc>
          <w:tcPr>
            <w:tcW w:w="1415" w:type="dxa"/>
            <w:vMerge w:val="continue"/>
            <w:tcBorders>
              <w:top w:val="nil"/>
            </w:tcBorders>
            <w:vAlign w:val="top"/>
          </w:tcPr>
          <w:p w14:paraId="2A393917">
            <w:pPr>
              <w:rPr>
                <w:rFonts w:ascii="Arial"/>
                <w:sz w:val="21"/>
              </w:rPr>
            </w:pPr>
          </w:p>
        </w:tc>
        <w:tc>
          <w:tcPr>
            <w:tcW w:w="1512" w:type="dxa"/>
            <w:vAlign w:val="top"/>
          </w:tcPr>
          <w:p w14:paraId="26DD950D">
            <w:pPr>
              <w:spacing w:line="301" w:lineRule="auto"/>
              <w:rPr>
                <w:rFonts w:ascii="Arial"/>
                <w:sz w:val="21"/>
              </w:rPr>
            </w:pPr>
          </w:p>
          <w:p w14:paraId="6762AC23">
            <w:pPr>
              <w:pStyle w:val="7"/>
              <w:spacing w:before="65" w:line="434" w:lineRule="auto"/>
              <w:ind w:left="280" w:right="172" w:hanging="103"/>
            </w:pPr>
            <w:r>
              <w:rPr>
                <w:spacing w:val="7"/>
              </w:rPr>
              <w:t>参评人资质认证情况</w:t>
            </w:r>
          </w:p>
        </w:tc>
        <w:tc>
          <w:tcPr>
            <w:tcW w:w="938" w:type="dxa"/>
            <w:vAlign w:val="top"/>
          </w:tcPr>
          <w:p w14:paraId="5D14897F">
            <w:pPr>
              <w:spacing w:line="266" w:lineRule="auto"/>
              <w:rPr>
                <w:rFonts w:ascii="Arial"/>
                <w:sz w:val="21"/>
              </w:rPr>
            </w:pPr>
          </w:p>
          <w:p w14:paraId="555E3F99">
            <w:pPr>
              <w:spacing w:line="267" w:lineRule="auto"/>
              <w:rPr>
                <w:rFonts w:ascii="Arial"/>
                <w:sz w:val="21"/>
              </w:rPr>
            </w:pPr>
          </w:p>
          <w:p w14:paraId="1EFD4303">
            <w:pPr>
              <w:pStyle w:val="7"/>
              <w:spacing w:before="65" w:line="228" w:lineRule="auto"/>
              <w:ind w:left="349"/>
            </w:pPr>
            <w:r>
              <w:rPr>
                <w:spacing w:val="-3"/>
              </w:rPr>
              <w:t>9</w:t>
            </w:r>
            <w:r>
              <w:rPr>
                <w:spacing w:val="-38"/>
              </w:rPr>
              <w:t xml:space="preserve"> </w:t>
            </w:r>
            <w:r>
              <w:rPr>
                <w:spacing w:val="-3"/>
              </w:rPr>
              <w:t>分</w:t>
            </w:r>
          </w:p>
        </w:tc>
        <w:tc>
          <w:tcPr>
            <w:tcW w:w="6655" w:type="dxa"/>
            <w:vAlign w:val="top"/>
          </w:tcPr>
          <w:p w14:paraId="229B17C3">
            <w:pPr>
              <w:pStyle w:val="7"/>
              <w:spacing w:before="133" w:line="228" w:lineRule="auto"/>
              <w:ind w:left="123"/>
            </w:pPr>
            <w:r>
              <w:rPr>
                <w:b/>
                <w:bCs/>
                <w:spacing w:val="4"/>
              </w:rPr>
              <w:t>（一）评分内容：</w:t>
            </w:r>
          </w:p>
          <w:p w14:paraId="5AA5AA6E">
            <w:pPr>
              <w:pStyle w:val="7"/>
              <w:spacing w:before="221" w:line="227" w:lineRule="auto"/>
              <w:ind w:left="129"/>
            </w:pPr>
            <w:r>
              <w:rPr>
                <w:spacing w:val="6"/>
              </w:rPr>
              <w:t>1.具有质量管理体系认证证书，得</w:t>
            </w:r>
            <w:r>
              <w:rPr>
                <w:spacing w:val="-35"/>
              </w:rPr>
              <w:t xml:space="preserve"> </w:t>
            </w:r>
            <w:r>
              <w:rPr>
                <w:spacing w:val="6"/>
              </w:rPr>
              <w:t>3</w:t>
            </w:r>
            <w:r>
              <w:rPr>
                <w:spacing w:val="-35"/>
              </w:rPr>
              <w:t xml:space="preserve"> </w:t>
            </w:r>
            <w:r>
              <w:rPr>
                <w:spacing w:val="6"/>
              </w:rPr>
              <w:t>分；</w:t>
            </w:r>
          </w:p>
          <w:p w14:paraId="0B6B79F6">
            <w:pPr>
              <w:pStyle w:val="7"/>
              <w:spacing w:before="222" w:line="227" w:lineRule="auto"/>
              <w:ind w:left="116"/>
            </w:pPr>
            <w:r>
              <w:rPr>
                <w:spacing w:val="6"/>
              </w:rPr>
              <w:t>2.具有环境管理体系认证证书，得</w:t>
            </w:r>
            <w:r>
              <w:rPr>
                <w:spacing w:val="-22"/>
              </w:rPr>
              <w:t xml:space="preserve"> </w:t>
            </w:r>
            <w:r>
              <w:rPr>
                <w:spacing w:val="6"/>
              </w:rPr>
              <w:t>3</w:t>
            </w:r>
            <w:r>
              <w:rPr>
                <w:spacing w:val="-35"/>
              </w:rPr>
              <w:t xml:space="preserve"> </w:t>
            </w:r>
            <w:r>
              <w:rPr>
                <w:spacing w:val="6"/>
              </w:rPr>
              <w:t>分；</w:t>
            </w:r>
          </w:p>
        </w:tc>
      </w:tr>
    </w:tbl>
    <w:p w14:paraId="04B2B30A">
      <w:pPr>
        <w:spacing w:line="83" w:lineRule="exact"/>
        <w:rPr>
          <w:rFonts w:ascii="Arial"/>
          <w:sz w:val="7"/>
        </w:rPr>
      </w:pPr>
    </w:p>
    <w:p w14:paraId="4FE39241">
      <w:pPr>
        <w:spacing w:line="83" w:lineRule="exact"/>
        <w:rPr>
          <w:rFonts w:ascii="Arial" w:hAnsi="Arial" w:eastAsia="Arial" w:cs="Arial"/>
          <w:sz w:val="7"/>
          <w:szCs w:val="7"/>
        </w:rPr>
        <w:sectPr>
          <w:footerReference r:id="rId14" w:type="default"/>
          <w:pgSz w:w="11906" w:h="16839"/>
          <w:pgMar w:top="1087" w:right="690" w:bottom="1065" w:left="690" w:header="810" w:footer="903" w:gutter="0"/>
          <w:cols w:space="720" w:num="1"/>
        </w:sectPr>
      </w:pPr>
    </w:p>
    <w:p w14:paraId="53CCC5B1">
      <w:pPr>
        <w:spacing w:line="46" w:lineRule="exact"/>
      </w:pPr>
    </w:p>
    <w:tbl>
      <w:tblPr>
        <w:tblStyle w:val="8"/>
        <w:tblW w:w="10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1394"/>
        <w:gridCol w:w="1056"/>
        <w:gridCol w:w="6655"/>
      </w:tblGrid>
      <w:tr w14:paraId="222A7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9" w:hRule="atLeast"/>
        </w:trPr>
        <w:tc>
          <w:tcPr>
            <w:tcW w:w="1415" w:type="dxa"/>
            <w:vMerge w:val="restart"/>
            <w:tcBorders>
              <w:bottom w:val="nil"/>
            </w:tcBorders>
            <w:vAlign w:val="top"/>
          </w:tcPr>
          <w:p w14:paraId="7FDFC479">
            <w:pPr>
              <w:rPr>
                <w:rFonts w:ascii="Arial"/>
                <w:sz w:val="21"/>
              </w:rPr>
            </w:pPr>
            <w:bookmarkStart w:id="1" w:name="_GoBack"/>
            <w:bookmarkEnd w:id="1"/>
          </w:p>
        </w:tc>
        <w:tc>
          <w:tcPr>
            <w:tcW w:w="1394" w:type="dxa"/>
            <w:vAlign w:val="top"/>
          </w:tcPr>
          <w:p w14:paraId="4D27FE53">
            <w:pPr>
              <w:rPr>
                <w:rFonts w:ascii="Arial"/>
                <w:sz w:val="21"/>
              </w:rPr>
            </w:pPr>
          </w:p>
        </w:tc>
        <w:tc>
          <w:tcPr>
            <w:tcW w:w="1056" w:type="dxa"/>
            <w:vAlign w:val="top"/>
          </w:tcPr>
          <w:p w14:paraId="64DEAE51">
            <w:pPr>
              <w:rPr>
                <w:rFonts w:ascii="Arial"/>
                <w:sz w:val="21"/>
              </w:rPr>
            </w:pPr>
          </w:p>
        </w:tc>
        <w:tc>
          <w:tcPr>
            <w:tcW w:w="6655" w:type="dxa"/>
            <w:vAlign w:val="top"/>
          </w:tcPr>
          <w:p w14:paraId="6D37F897">
            <w:pPr>
              <w:pStyle w:val="7"/>
              <w:spacing w:before="134" w:line="432" w:lineRule="auto"/>
              <w:ind w:left="136" w:right="1980" w:hanging="19"/>
            </w:pPr>
            <w:r>
              <w:rPr>
                <w:spacing w:val="5"/>
              </w:rPr>
              <w:t>3.具有职业健康安全管理体系认证证书，得</w:t>
            </w:r>
            <w:r>
              <w:rPr>
                <w:spacing w:val="-29"/>
              </w:rPr>
              <w:t xml:space="preserve"> </w:t>
            </w:r>
            <w:r>
              <w:rPr>
                <w:spacing w:val="5"/>
              </w:rPr>
              <w:t>3</w:t>
            </w:r>
            <w:r>
              <w:rPr>
                <w:spacing w:val="-35"/>
              </w:rPr>
              <w:t xml:space="preserve"> </w:t>
            </w:r>
            <w:r>
              <w:rPr>
                <w:spacing w:val="5"/>
              </w:rPr>
              <w:t>分；</w:t>
            </w:r>
            <w:r>
              <w:rPr>
                <w:spacing w:val="9"/>
              </w:rPr>
              <w:t>以上累计最高得9</w:t>
            </w:r>
            <w:r>
              <w:rPr>
                <w:spacing w:val="-34"/>
              </w:rPr>
              <w:t xml:space="preserve"> </w:t>
            </w:r>
            <w:r>
              <w:rPr>
                <w:spacing w:val="9"/>
              </w:rPr>
              <w:t>分。</w:t>
            </w:r>
          </w:p>
          <w:p w14:paraId="28834F56">
            <w:pPr>
              <w:pStyle w:val="7"/>
              <w:spacing w:line="226" w:lineRule="auto"/>
              <w:ind w:left="123"/>
            </w:pPr>
            <w:r>
              <w:rPr>
                <w:b/>
                <w:bCs/>
                <w:spacing w:val="4"/>
              </w:rPr>
              <w:t>（二）评分依据：</w:t>
            </w:r>
          </w:p>
          <w:p w14:paraId="3FE3ACE7">
            <w:pPr>
              <w:pStyle w:val="7"/>
              <w:spacing w:before="222" w:line="432" w:lineRule="auto"/>
              <w:ind w:left="114" w:right="110"/>
            </w:pPr>
            <w:r>
              <w:rPr>
                <w:spacing w:val="9"/>
              </w:rPr>
              <w:t>1.要求提供有效的证书扫描件及全国认证认可</w:t>
            </w:r>
            <w:r>
              <w:rPr>
                <w:spacing w:val="8"/>
              </w:rPr>
              <w:t>信息公共服务平台</w:t>
            </w:r>
            <w:r>
              <w:rPr>
                <w:spacing w:val="12"/>
              </w:rPr>
              <w:t>的查询记录作</w:t>
            </w:r>
            <w:r>
              <w:rPr>
                <w:spacing w:val="7"/>
              </w:rPr>
              <w:t>为得分依据，相关证书在公开渠道无法查询的，需要求提供颁发部门或</w:t>
            </w:r>
            <w:r>
              <w:rPr>
                <w:spacing w:val="9"/>
              </w:rPr>
              <w:t>者监管机构的证明材料，证明证书真实有效且为合法机构颁发。</w:t>
            </w:r>
          </w:p>
          <w:p w14:paraId="59A091C5">
            <w:pPr>
              <w:pStyle w:val="7"/>
              <w:spacing w:before="2" w:line="431" w:lineRule="auto"/>
              <w:ind w:left="114" w:right="107" w:firstLine="1"/>
            </w:pPr>
            <w:r>
              <w:rPr>
                <w:spacing w:val="6"/>
              </w:rPr>
              <w:t>2.如供应商因成立时间不足</w:t>
            </w:r>
            <w:r>
              <w:rPr>
                <w:spacing w:val="-29"/>
              </w:rPr>
              <w:t xml:space="preserve"> </w:t>
            </w:r>
            <w:r>
              <w:rPr>
                <w:spacing w:val="6"/>
              </w:rPr>
              <w:t>3</w:t>
            </w:r>
            <w:r>
              <w:rPr>
                <w:spacing w:val="-38"/>
              </w:rPr>
              <w:t xml:space="preserve"> </w:t>
            </w:r>
            <w:r>
              <w:rPr>
                <w:spacing w:val="6"/>
              </w:rPr>
              <w:t>个月导致不满足以上证书申请条件的，需</w:t>
            </w:r>
            <w:r>
              <w:rPr>
                <w:spacing w:val="9"/>
              </w:rPr>
              <w:t>提供成立情况说明函（格式自拟</w:t>
            </w:r>
            <w:r>
              <w:rPr>
                <w:spacing w:val="16"/>
              </w:rPr>
              <w:t>），</w:t>
            </w:r>
            <w:r>
              <w:rPr>
                <w:spacing w:val="9"/>
              </w:rPr>
              <w:t>无需提供相关证书</w:t>
            </w:r>
            <w:r>
              <w:rPr>
                <w:spacing w:val="8"/>
              </w:rPr>
              <w:t>，亦可得分。</w:t>
            </w:r>
          </w:p>
          <w:p w14:paraId="2D563816">
            <w:pPr>
              <w:pStyle w:val="7"/>
              <w:spacing w:line="390" w:lineRule="auto"/>
              <w:ind w:left="113" w:right="107" w:firstLine="4"/>
            </w:pPr>
            <w:r>
              <w:rPr>
                <w:spacing w:val="7"/>
              </w:rPr>
              <w:t>3.以上资料均要求提供扫描件或</w:t>
            </w:r>
            <w:r>
              <w:rPr>
                <w:rFonts w:hint="eastAsia"/>
                <w:spacing w:val="7"/>
                <w:lang w:eastAsia="zh-CN"/>
              </w:rPr>
              <w:t>复印件并加盖</w:t>
            </w:r>
            <w:r>
              <w:rPr>
                <w:spacing w:val="7"/>
              </w:rPr>
              <w:t>投标人公章，原件备查。评分中出现无证明资料或专家无法凭所提供资料判断是否得分的情况，一律作不得分处理。</w:t>
            </w:r>
          </w:p>
        </w:tc>
      </w:tr>
      <w:tr w14:paraId="128DC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15" w:type="dxa"/>
            <w:vMerge w:val="continue"/>
            <w:tcBorders>
              <w:top w:val="nil"/>
            </w:tcBorders>
            <w:vAlign w:val="top"/>
          </w:tcPr>
          <w:p w14:paraId="56064A39">
            <w:pPr>
              <w:rPr>
                <w:rFonts w:ascii="Arial"/>
                <w:sz w:val="21"/>
              </w:rPr>
            </w:pPr>
          </w:p>
        </w:tc>
        <w:tc>
          <w:tcPr>
            <w:tcW w:w="1394" w:type="dxa"/>
            <w:vAlign w:val="top"/>
          </w:tcPr>
          <w:p w14:paraId="76CD8FCD">
            <w:pPr>
              <w:spacing w:line="251" w:lineRule="auto"/>
              <w:rPr>
                <w:rFonts w:ascii="Arial"/>
                <w:sz w:val="21"/>
              </w:rPr>
            </w:pPr>
          </w:p>
          <w:p w14:paraId="113FF685">
            <w:pPr>
              <w:spacing w:line="251" w:lineRule="auto"/>
              <w:rPr>
                <w:rFonts w:ascii="Arial"/>
                <w:sz w:val="21"/>
              </w:rPr>
            </w:pPr>
          </w:p>
          <w:p w14:paraId="0A6BFB5C">
            <w:pPr>
              <w:spacing w:line="251" w:lineRule="auto"/>
              <w:rPr>
                <w:rFonts w:ascii="Arial"/>
                <w:sz w:val="21"/>
              </w:rPr>
            </w:pPr>
          </w:p>
          <w:p w14:paraId="157A0F31">
            <w:pPr>
              <w:spacing w:line="251" w:lineRule="auto"/>
              <w:rPr>
                <w:rFonts w:ascii="Arial"/>
                <w:sz w:val="21"/>
              </w:rPr>
            </w:pPr>
          </w:p>
          <w:p w14:paraId="6A297397">
            <w:pPr>
              <w:spacing w:line="251" w:lineRule="auto"/>
              <w:rPr>
                <w:rFonts w:ascii="Arial"/>
                <w:sz w:val="21"/>
              </w:rPr>
            </w:pPr>
          </w:p>
          <w:p w14:paraId="2722EEB5">
            <w:pPr>
              <w:spacing w:line="251" w:lineRule="auto"/>
              <w:rPr>
                <w:rFonts w:ascii="Arial"/>
                <w:sz w:val="21"/>
              </w:rPr>
            </w:pPr>
          </w:p>
          <w:p w14:paraId="3C2BD100">
            <w:pPr>
              <w:spacing w:line="251" w:lineRule="auto"/>
              <w:rPr>
                <w:rFonts w:ascii="Arial"/>
                <w:sz w:val="21"/>
              </w:rPr>
            </w:pPr>
          </w:p>
          <w:p w14:paraId="77C7A67A">
            <w:pPr>
              <w:spacing w:line="251" w:lineRule="auto"/>
              <w:rPr>
                <w:rFonts w:ascii="Arial"/>
                <w:sz w:val="21"/>
              </w:rPr>
            </w:pPr>
          </w:p>
          <w:p w14:paraId="3388AC17">
            <w:pPr>
              <w:spacing w:line="251" w:lineRule="auto"/>
              <w:rPr>
                <w:rFonts w:ascii="Arial"/>
                <w:sz w:val="21"/>
              </w:rPr>
            </w:pPr>
          </w:p>
          <w:p w14:paraId="1DEF3CD2">
            <w:pPr>
              <w:spacing w:line="251" w:lineRule="auto"/>
              <w:rPr>
                <w:rFonts w:ascii="Arial"/>
                <w:sz w:val="21"/>
              </w:rPr>
            </w:pPr>
          </w:p>
          <w:p w14:paraId="04BD7193">
            <w:pPr>
              <w:spacing w:line="251" w:lineRule="auto"/>
              <w:rPr>
                <w:rFonts w:ascii="Arial"/>
                <w:sz w:val="21"/>
              </w:rPr>
            </w:pPr>
          </w:p>
          <w:p w14:paraId="6E8716A0">
            <w:pPr>
              <w:spacing w:line="251" w:lineRule="auto"/>
              <w:rPr>
                <w:rFonts w:ascii="Arial"/>
                <w:sz w:val="21"/>
              </w:rPr>
            </w:pPr>
          </w:p>
          <w:p w14:paraId="339ABBAC">
            <w:pPr>
              <w:spacing w:line="252" w:lineRule="auto"/>
              <w:rPr>
                <w:rFonts w:ascii="Arial"/>
                <w:sz w:val="21"/>
              </w:rPr>
            </w:pPr>
          </w:p>
          <w:p w14:paraId="22CBD18E">
            <w:pPr>
              <w:spacing w:line="252" w:lineRule="auto"/>
              <w:rPr>
                <w:rFonts w:ascii="Arial"/>
                <w:sz w:val="21"/>
              </w:rPr>
            </w:pPr>
          </w:p>
          <w:p w14:paraId="4496365F">
            <w:pPr>
              <w:spacing w:line="252" w:lineRule="auto"/>
              <w:rPr>
                <w:rFonts w:ascii="Arial"/>
                <w:sz w:val="21"/>
              </w:rPr>
            </w:pPr>
          </w:p>
          <w:p w14:paraId="403AEF43">
            <w:pPr>
              <w:spacing w:line="252" w:lineRule="auto"/>
              <w:rPr>
                <w:rFonts w:ascii="Arial"/>
                <w:sz w:val="21"/>
              </w:rPr>
            </w:pPr>
          </w:p>
          <w:p w14:paraId="5A106710">
            <w:pPr>
              <w:pStyle w:val="7"/>
              <w:spacing w:before="65" w:line="434" w:lineRule="auto"/>
              <w:ind w:left="602" w:right="172" w:hanging="424"/>
            </w:pPr>
            <w:r>
              <w:rPr>
                <w:spacing w:val="7"/>
              </w:rPr>
              <w:t>项目团队人</w:t>
            </w:r>
            <w:r>
              <w:t>员</w:t>
            </w:r>
          </w:p>
        </w:tc>
        <w:tc>
          <w:tcPr>
            <w:tcW w:w="1056" w:type="dxa"/>
            <w:vAlign w:val="top"/>
          </w:tcPr>
          <w:p w14:paraId="7A33A201">
            <w:pPr>
              <w:spacing w:line="250" w:lineRule="auto"/>
              <w:rPr>
                <w:rFonts w:ascii="Arial"/>
                <w:sz w:val="21"/>
              </w:rPr>
            </w:pPr>
          </w:p>
          <w:p w14:paraId="4122D882">
            <w:pPr>
              <w:spacing w:line="250" w:lineRule="auto"/>
              <w:rPr>
                <w:rFonts w:ascii="Arial"/>
                <w:sz w:val="21"/>
              </w:rPr>
            </w:pPr>
          </w:p>
          <w:p w14:paraId="10FB0647">
            <w:pPr>
              <w:spacing w:line="250" w:lineRule="auto"/>
              <w:rPr>
                <w:rFonts w:ascii="Arial"/>
                <w:sz w:val="21"/>
              </w:rPr>
            </w:pPr>
          </w:p>
          <w:p w14:paraId="3AFE2DC1">
            <w:pPr>
              <w:spacing w:line="250" w:lineRule="auto"/>
              <w:rPr>
                <w:rFonts w:ascii="Arial"/>
                <w:sz w:val="21"/>
              </w:rPr>
            </w:pPr>
          </w:p>
          <w:p w14:paraId="44F67CF8">
            <w:pPr>
              <w:spacing w:line="250" w:lineRule="auto"/>
              <w:rPr>
                <w:rFonts w:ascii="Arial"/>
                <w:sz w:val="21"/>
              </w:rPr>
            </w:pPr>
          </w:p>
          <w:p w14:paraId="140B72DF">
            <w:pPr>
              <w:spacing w:line="250" w:lineRule="auto"/>
              <w:rPr>
                <w:rFonts w:ascii="Arial"/>
                <w:sz w:val="21"/>
              </w:rPr>
            </w:pPr>
          </w:p>
          <w:p w14:paraId="328E9654">
            <w:pPr>
              <w:spacing w:line="250" w:lineRule="auto"/>
              <w:rPr>
                <w:rFonts w:ascii="Arial"/>
                <w:sz w:val="21"/>
              </w:rPr>
            </w:pPr>
          </w:p>
          <w:p w14:paraId="6D3CFCDB">
            <w:pPr>
              <w:spacing w:line="250" w:lineRule="auto"/>
              <w:rPr>
                <w:rFonts w:ascii="Arial"/>
                <w:sz w:val="21"/>
              </w:rPr>
            </w:pPr>
          </w:p>
          <w:p w14:paraId="41637E29">
            <w:pPr>
              <w:spacing w:line="250" w:lineRule="auto"/>
              <w:rPr>
                <w:rFonts w:ascii="Arial"/>
                <w:sz w:val="21"/>
              </w:rPr>
            </w:pPr>
          </w:p>
          <w:p w14:paraId="6F6ACE8D">
            <w:pPr>
              <w:spacing w:line="250" w:lineRule="auto"/>
              <w:rPr>
                <w:rFonts w:ascii="Arial"/>
                <w:sz w:val="21"/>
              </w:rPr>
            </w:pPr>
          </w:p>
          <w:p w14:paraId="0979A2F5">
            <w:pPr>
              <w:spacing w:line="250" w:lineRule="auto"/>
              <w:rPr>
                <w:rFonts w:ascii="Arial"/>
                <w:sz w:val="21"/>
              </w:rPr>
            </w:pPr>
          </w:p>
          <w:p w14:paraId="52F359AE">
            <w:pPr>
              <w:spacing w:line="250" w:lineRule="auto"/>
              <w:rPr>
                <w:rFonts w:ascii="Arial"/>
                <w:sz w:val="21"/>
              </w:rPr>
            </w:pPr>
          </w:p>
          <w:p w14:paraId="527272B7">
            <w:pPr>
              <w:spacing w:line="250" w:lineRule="auto"/>
              <w:rPr>
                <w:rFonts w:ascii="Arial"/>
                <w:sz w:val="21"/>
              </w:rPr>
            </w:pPr>
          </w:p>
          <w:p w14:paraId="4C0EB3EA">
            <w:pPr>
              <w:spacing w:line="250" w:lineRule="auto"/>
              <w:rPr>
                <w:rFonts w:ascii="Arial"/>
                <w:sz w:val="21"/>
              </w:rPr>
            </w:pPr>
          </w:p>
          <w:p w14:paraId="618DCA84">
            <w:pPr>
              <w:spacing w:line="250" w:lineRule="auto"/>
              <w:rPr>
                <w:rFonts w:ascii="Arial"/>
                <w:sz w:val="21"/>
              </w:rPr>
            </w:pPr>
          </w:p>
          <w:p w14:paraId="1305CA58">
            <w:pPr>
              <w:spacing w:line="251" w:lineRule="auto"/>
              <w:rPr>
                <w:rFonts w:ascii="Arial"/>
                <w:sz w:val="21"/>
              </w:rPr>
            </w:pPr>
          </w:p>
          <w:p w14:paraId="6D32448A">
            <w:pPr>
              <w:spacing w:line="251" w:lineRule="auto"/>
              <w:rPr>
                <w:rFonts w:ascii="Arial"/>
                <w:sz w:val="21"/>
              </w:rPr>
            </w:pPr>
          </w:p>
          <w:p w14:paraId="6FB053E9">
            <w:pPr>
              <w:pStyle w:val="7"/>
              <w:spacing w:before="65" w:line="228" w:lineRule="auto"/>
              <w:ind w:left="311"/>
            </w:pPr>
            <w:r>
              <w:rPr>
                <w:spacing w:val="-5"/>
              </w:rPr>
              <w:t>12</w:t>
            </w:r>
            <w:r>
              <w:rPr>
                <w:spacing w:val="-35"/>
              </w:rPr>
              <w:t xml:space="preserve"> </w:t>
            </w:r>
            <w:r>
              <w:rPr>
                <w:spacing w:val="-5"/>
              </w:rPr>
              <w:t>分</w:t>
            </w:r>
          </w:p>
        </w:tc>
        <w:tc>
          <w:tcPr>
            <w:tcW w:w="6655" w:type="dxa"/>
            <w:vAlign w:val="top"/>
          </w:tcPr>
          <w:p w14:paraId="684AD519">
            <w:pPr>
              <w:pStyle w:val="7"/>
              <w:spacing w:before="130" w:line="228" w:lineRule="auto"/>
              <w:ind w:left="123"/>
            </w:pPr>
            <w:r>
              <w:rPr>
                <w:b/>
                <w:bCs/>
                <w:spacing w:val="4"/>
              </w:rPr>
              <w:t>（一）评分内容：</w:t>
            </w:r>
          </w:p>
          <w:p w14:paraId="6984463A">
            <w:pPr>
              <w:pStyle w:val="7"/>
              <w:spacing w:before="221" w:line="432" w:lineRule="auto"/>
              <w:ind w:left="114" w:right="110" w:firstLine="1"/>
              <w:jc w:val="both"/>
            </w:pPr>
            <w:r>
              <w:rPr>
                <w:spacing w:val="7"/>
              </w:rPr>
              <w:t>投标单位自有员工中，持有制冷与空调作业中级及以上等级证书或空</w:t>
            </w:r>
            <w:r>
              <w:rPr>
                <w:spacing w:val="6"/>
              </w:rPr>
              <w:t>调系统消毒杀菌认证（如卫健委备案的消毒服务人员证）的，每</w:t>
            </w:r>
            <w:r>
              <w:rPr>
                <w:spacing w:val="-23"/>
              </w:rPr>
              <w:t xml:space="preserve"> </w:t>
            </w:r>
            <w:r>
              <w:rPr>
                <w:spacing w:val="5"/>
              </w:rPr>
              <w:t>1</w:t>
            </w:r>
            <w:r>
              <w:rPr>
                <w:spacing w:val="-36"/>
              </w:rPr>
              <w:t xml:space="preserve"> </w:t>
            </w:r>
            <w:r>
              <w:rPr>
                <w:spacing w:val="5"/>
              </w:rPr>
              <w:t>名符合要求的人员得</w:t>
            </w:r>
            <w:r>
              <w:rPr>
                <w:spacing w:val="-37"/>
              </w:rPr>
              <w:t xml:space="preserve"> </w:t>
            </w:r>
            <w:r>
              <w:rPr>
                <w:spacing w:val="5"/>
              </w:rPr>
              <w:t>2</w:t>
            </w:r>
            <w:r>
              <w:rPr>
                <w:spacing w:val="-35"/>
              </w:rPr>
              <w:t xml:space="preserve"> </w:t>
            </w:r>
            <w:r>
              <w:rPr>
                <w:spacing w:val="5"/>
              </w:rPr>
              <w:t>分，每人限计</w:t>
            </w:r>
            <w:r>
              <w:rPr>
                <w:spacing w:val="-22"/>
              </w:rPr>
              <w:t xml:space="preserve"> </w:t>
            </w:r>
            <w:r>
              <w:rPr>
                <w:spacing w:val="5"/>
              </w:rPr>
              <w:t>1</w:t>
            </w:r>
            <w:r>
              <w:rPr>
                <w:spacing w:val="-32"/>
              </w:rPr>
              <w:t xml:space="preserve"> </w:t>
            </w:r>
            <w:r>
              <w:rPr>
                <w:spacing w:val="5"/>
              </w:rPr>
              <w:t>次（不重复计分</w:t>
            </w:r>
            <w:r>
              <w:rPr>
                <w:spacing w:val="23"/>
              </w:rPr>
              <w:t>），</w:t>
            </w:r>
            <w:r>
              <w:rPr>
                <w:spacing w:val="5"/>
              </w:rPr>
              <w:t>本项最高得</w:t>
            </w:r>
            <w:r>
              <w:rPr>
                <w:spacing w:val="-24"/>
              </w:rPr>
              <w:t xml:space="preserve"> </w:t>
            </w:r>
            <w:r>
              <w:rPr>
                <w:spacing w:val="5"/>
              </w:rPr>
              <w:t>12</w:t>
            </w:r>
            <w:r>
              <w:rPr>
                <w:spacing w:val="8"/>
              </w:rPr>
              <w:t>分；无符合要求人员的不得分。</w:t>
            </w:r>
          </w:p>
          <w:p w14:paraId="3F00FE40">
            <w:pPr>
              <w:pStyle w:val="7"/>
              <w:spacing w:line="228" w:lineRule="auto"/>
              <w:ind w:left="123"/>
            </w:pPr>
            <w:r>
              <w:rPr>
                <w:b/>
                <w:bCs/>
                <w:spacing w:val="4"/>
              </w:rPr>
              <w:t>（二）评分标准：</w:t>
            </w:r>
          </w:p>
          <w:p w14:paraId="6F8437FA">
            <w:pPr>
              <w:pStyle w:val="7"/>
              <w:spacing w:before="220" w:line="432" w:lineRule="auto"/>
              <w:ind w:left="113" w:right="22" w:firstLine="15"/>
            </w:pPr>
            <w:r>
              <w:rPr>
                <w:spacing w:val="7"/>
              </w:rPr>
              <w:t>1.以上人员需为投标单位自有员工，提供通</w:t>
            </w:r>
            <w:r>
              <w:rPr>
                <w:spacing w:val="6"/>
              </w:rPr>
              <w:t>过投标人缴纳的至投标截止</w:t>
            </w:r>
            <w:r>
              <w:rPr>
                <w:spacing w:val="7"/>
              </w:rPr>
              <w:t>日近一个月的社保证明作为本单位员工的证明依据。若投标人成立不足</w:t>
            </w:r>
            <w:r>
              <w:rPr>
                <w:spacing w:val="8"/>
              </w:rPr>
              <w:t>一个月的，需提供成立情况说明函（格式自拟</w:t>
            </w:r>
            <w:r>
              <w:rPr>
                <w:spacing w:val="-2"/>
              </w:rPr>
              <w:t>），</w:t>
            </w:r>
            <w:r>
              <w:rPr>
                <w:spacing w:val="8"/>
              </w:rPr>
              <w:t>无需提供相关人员社</w:t>
            </w:r>
            <w:r>
              <w:rPr>
                <w:spacing w:val="3"/>
              </w:rPr>
              <w:t>保，亦可得分。如开标日上一个月的社保材料因社保部门（或税务部门）</w:t>
            </w:r>
            <w:r>
              <w:rPr>
                <w:spacing w:val="7"/>
              </w:rPr>
              <w:t>原因暂时无法取得，则可以往前顺延一个月。若为退休或返聘人员需提</w:t>
            </w:r>
            <w:r>
              <w:rPr>
                <w:spacing w:val="8"/>
              </w:rPr>
              <w:t>供说明函（格式自拟</w:t>
            </w:r>
            <w:r>
              <w:rPr>
                <w:spacing w:val="-2"/>
              </w:rPr>
              <w:t>），</w:t>
            </w:r>
            <w:r>
              <w:rPr>
                <w:spacing w:val="8"/>
              </w:rPr>
              <w:t>无需提供相关人员社保亦可得分。如依法不需要缴纳社会保险的，应提供相应文件证明。</w:t>
            </w:r>
          </w:p>
          <w:p w14:paraId="346D5628">
            <w:pPr>
              <w:pStyle w:val="7"/>
              <w:spacing w:line="432" w:lineRule="auto"/>
              <w:ind w:left="124" w:right="110" w:hanging="8"/>
            </w:pPr>
            <w:r>
              <w:rPr>
                <w:spacing w:val="7"/>
              </w:rPr>
              <w:t>2.同时提供①相关有效证书扫描件②官网查询截图【人力资源和社</w:t>
            </w:r>
            <w:r>
              <w:rPr>
                <w:spacing w:val="6"/>
              </w:rPr>
              <w:t>会保</w:t>
            </w:r>
            <w:r>
              <w:rPr>
                <w:spacing w:val="7"/>
              </w:rPr>
              <w:t>障部发布的查询渠道（网址：</w:t>
            </w:r>
          </w:p>
          <w:p w14:paraId="7B4E41DD">
            <w:pPr>
              <w:pStyle w:val="7"/>
              <w:spacing w:before="1" w:line="400" w:lineRule="auto"/>
              <w:ind w:left="113" w:right="53" w:hanging="2"/>
            </w:pPr>
            <w:r>
              <w:fldChar w:fldCharType="begin"/>
            </w:r>
            <w:r>
              <w:instrText xml:space="preserve"> HYPERLINK "https://www.mohrss.gov.cn/SYrlzyhshbzb/ztzl/zyzghzyjndjrdcx/" </w:instrText>
            </w:r>
            <w:r>
              <w:fldChar w:fldCharType="separate"/>
            </w:r>
            <w:r>
              <w:t>https</w:t>
            </w:r>
            <w:r>
              <w:rPr>
                <w:spacing w:val="25"/>
              </w:rPr>
              <w:t>://</w:t>
            </w:r>
            <w:r>
              <w:t>www</w:t>
            </w:r>
            <w:r>
              <w:rPr>
                <w:spacing w:val="25"/>
              </w:rPr>
              <w:t>.</w:t>
            </w:r>
            <w:r>
              <w:t>mohrss</w:t>
            </w:r>
            <w:r>
              <w:rPr>
                <w:spacing w:val="25"/>
              </w:rPr>
              <w:t>.</w:t>
            </w:r>
            <w:r>
              <w:t>gov</w:t>
            </w:r>
            <w:r>
              <w:rPr>
                <w:spacing w:val="25"/>
              </w:rPr>
              <w:t>.</w:t>
            </w:r>
            <w:r>
              <w:t>cn</w:t>
            </w:r>
            <w:r>
              <w:rPr>
                <w:spacing w:val="25"/>
              </w:rPr>
              <w:t>/</w:t>
            </w:r>
            <w:r>
              <w:t>SYrlzyhshbzb</w:t>
            </w:r>
            <w:r>
              <w:rPr>
                <w:spacing w:val="25"/>
              </w:rPr>
              <w:t>/</w:t>
            </w:r>
            <w:r>
              <w:t>ztzl</w:t>
            </w:r>
            <w:r>
              <w:rPr>
                <w:spacing w:val="25"/>
              </w:rPr>
              <w:t>/</w:t>
            </w:r>
            <w:r>
              <w:t>zyzghzyjndjrdcx</w:t>
            </w:r>
            <w:r>
              <w:rPr>
                <w:spacing w:val="25"/>
              </w:rPr>
              <w:t>/</w:t>
            </w:r>
            <w:r>
              <w:rPr>
                <w:spacing w:val="25"/>
              </w:rPr>
              <w:fldChar w:fldCharType="end"/>
            </w:r>
            <w:r>
              <w:rPr>
                <w:spacing w:val="25"/>
              </w:rPr>
              <w:t>）</w:t>
            </w:r>
            <w:r>
              <w:rPr>
                <w:spacing w:val="7"/>
              </w:rPr>
              <w:t>所对应证书的平台或系统进行查询并提供截图，或证书官网进行查询并提供截图，或权威机构网站</w:t>
            </w:r>
            <w:r>
              <w:rPr>
                <w:rFonts w:hint="eastAsia"/>
                <w:spacing w:val="7"/>
                <w:lang w:eastAsia="zh-CN"/>
              </w:rPr>
              <w:t>（</w:t>
            </w:r>
            <w:r>
              <w:rPr>
                <w:spacing w:val="7"/>
              </w:rPr>
              <w:t>如人事考试网、政务官网</w:t>
            </w:r>
            <w:r>
              <w:rPr>
                <w:rFonts w:hint="eastAsia"/>
                <w:spacing w:val="7"/>
                <w:lang w:eastAsia="zh-CN"/>
              </w:rPr>
              <w:t>，</w:t>
            </w:r>
            <w:r>
              <w:rPr>
                <w:spacing w:val="7"/>
              </w:rPr>
              <w:t>人社相关部门查</w:t>
            </w:r>
            <w:r>
              <w:rPr>
                <w:spacing w:val="9"/>
              </w:rPr>
              <w:t>询网站或工信相关部门查询官网等</w:t>
            </w:r>
            <w:r>
              <w:rPr>
                <w:rFonts w:hint="eastAsia"/>
                <w:spacing w:val="9"/>
                <w:lang w:eastAsia="zh-CN"/>
              </w:rPr>
              <w:t>）</w:t>
            </w:r>
            <w:r>
              <w:rPr>
                <w:spacing w:val="9"/>
              </w:rPr>
              <w:t>进行查询并提供截图。若部分职业</w:t>
            </w:r>
          </w:p>
        </w:tc>
      </w:tr>
    </w:tbl>
    <w:p w14:paraId="124F6128">
      <w:pPr>
        <w:spacing w:before="103" w:line="188" w:lineRule="auto"/>
        <w:ind w:left="5176"/>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p w14:paraId="75C7F671">
      <w:pPr>
        <w:spacing w:line="188" w:lineRule="auto"/>
        <w:rPr>
          <w:rFonts w:ascii="Times New Roman" w:hAnsi="Times New Roman" w:eastAsia="Times New Roman" w:cs="Times New Roman"/>
          <w:sz w:val="18"/>
          <w:szCs w:val="18"/>
        </w:rPr>
        <w:sectPr>
          <w:footerReference r:id="rId15" w:type="default"/>
          <w:pgSz w:w="11906" w:h="16839"/>
          <w:pgMar w:top="1087" w:right="690" w:bottom="400" w:left="690" w:header="810" w:footer="0" w:gutter="0"/>
          <w:cols w:space="720" w:num="1"/>
        </w:sectPr>
      </w:pPr>
    </w:p>
    <w:p w14:paraId="5F77865A">
      <w:pPr>
        <w:spacing w:line="46" w:lineRule="exact"/>
      </w:pPr>
    </w:p>
    <w:tbl>
      <w:tblPr>
        <w:tblStyle w:val="8"/>
        <w:tblW w:w="10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1394"/>
        <w:gridCol w:w="1056"/>
        <w:gridCol w:w="6655"/>
      </w:tblGrid>
      <w:tr w14:paraId="1C6CA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7" w:hRule="atLeast"/>
        </w:trPr>
        <w:tc>
          <w:tcPr>
            <w:tcW w:w="1415" w:type="dxa"/>
            <w:vMerge w:val="restart"/>
            <w:tcBorders>
              <w:bottom w:val="nil"/>
            </w:tcBorders>
            <w:vAlign w:val="top"/>
          </w:tcPr>
          <w:p w14:paraId="628F4547">
            <w:pPr>
              <w:rPr>
                <w:rFonts w:ascii="Arial"/>
                <w:sz w:val="21"/>
              </w:rPr>
            </w:pPr>
          </w:p>
        </w:tc>
        <w:tc>
          <w:tcPr>
            <w:tcW w:w="1394" w:type="dxa"/>
            <w:vAlign w:val="top"/>
          </w:tcPr>
          <w:p w14:paraId="68704CB3">
            <w:pPr>
              <w:rPr>
                <w:rFonts w:ascii="Arial"/>
                <w:sz w:val="21"/>
              </w:rPr>
            </w:pPr>
          </w:p>
        </w:tc>
        <w:tc>
          <w:tcPr>
            <w:tcW w:w="1056" w:type="dxa"/>
            <w:vAlign w:val="top"/>
          </w:tcPr>
          <w:p w14:paraId="646334D5">
            <w:pPr>
              <w:rPr>
                <w:rFonts w:ascii="Arial"/>
                <w:sz w:val="21"/>
              </w:rPr>
            </w:pPr>
          </w:p>
        </w:tc>
        <w:tc>
          <w:tcPr>
            <w:tcW w:w="6655" w:type="dxa"/>
            <w:vAlign w:val="top"/>
          </w:tcPr>
          <w:p w14:paraId="570D43BD">
            <w:pPr>
              <w:pStyle w:val="7"/>
              <w:spacing w:before="134" w:line="432" w:lineRule="auto"/>
              <w:ind w:left="113" w:right="86" w:firstLine="8"/>
              <w:jc w:val="both"/>
            </w:pPr>
            <w:r>
              <w:rPr>
                <w:spacing w:val="7"/>
              </w:rPr>
              <w:t>资格和职业技能等级认定的证书数据不能在上述系统中查询，则须提供相应证书颁发机构出具的加盖公章的书面说明，经评审委员会判定认可</w:t>
            </w:r>
            <w:r>
              <w:rPr>
                <w:spacing w:val="8"/>
              </w:rPr>
              <w:t>方为有效，否则视为无效证书。如因国家政策调整导致查询渠道变更，</w:t>
            </w:r>
            <w:r>
              <w:rPr>
                <w:spacing w:val="7"/>
              </w:rPr>
              <w:t>以最新有效的官方公告渠道为准】。如证书由行业协会（或学会）颁发的，还需提供该行业协会（或学会）在全国社会组织信用信息公示平台</w:t>
            </w:r>
            <w:r>
              <w:rPr>
                <w:spacing w:val="17"/>
              </w:rPr>
              <w:t>（</w:t>
            </w:r>
            <w:r>
              <w:fldChar w:fldCharType="begin"/>
            </w:r>
            <w:r>
              <w:instrText xml:space="preserve"> HYPERLINK "https://xxgs.chinanpo.mca.gov.cn/gsxt/newList" </w:instrText>
            </w:r>
            <w:r>
              <w:fldChar w:fldCharType="separate"/>
            </w:r>
            <w:r>
              <w:t>https</w:t>
            </w:r>
            <w:r>
              <w:rPr>
                <w:spacing w:val="17"/>
              </w:rPr>
              <w:t>://</w:t>
            </w:r>
            <w:r>
              <w:t>xxgs</w:t>
            </w:r>
            <w:r>
              <w:rPr>
                <w:spacing w:val="17"/>
              </w:rPr>
              <w:t>.</w:t>
            </w:r>
            <w:r>
              <w:t>chinanpo</w:t>
            </w:r>
            <w:r>
              <w:rPr>
                <w:spacing w:val="17"/>
              </w:rPr>
              <w:t>.</w:t>
            </w:r>
            <w:r>
              <w:t>mca</w:t>
            </w:r>
            <w:r>
              <w:rPr>
                <w:spacing w:val="17"/>
              </w:rPr>
              <w:t>.</w:t>
            </w:r>
            <w:r>
              <w:t>gov</w:t>
            </w:r>
            <w:r>
              <w:rPr>
                <w:spacing w:val="17"/>
              </w:rPr>
              <w:t>.</w:t>
            </w:r>
            <w:r>
              <w:t>cn</w:t>
            </w:r>
            <w:r>
              <w:rPr>
                <w:spacing w:val="17"/>
              </w:rPr>
              <w:t>/</w:t>
            </w:r>
            <w:r>
              <w:t>gsxt</w:t>
            </w:r>
            <w:r>
              <w:rPr>
                <w:spacing w:val="17"/>
              </w:rPr>
              <w:t>/</w:t>
            </w:r>
            <w:r>
              <w:t>newList</w:t>
            </w:r>
            <w:r>
              <w:fldChar w:fldCharType="end"/>
            </w:r>
            <w:r>
              <w:rPr>
                <w:spacing w:val="17"/>
              </w:rPr>
              <w:t>）的信息查询记</w:t>
            </w:r>
            <w:r>
              <w:rPr>
                <w:spacing w:val="8"/>
              </w:rPr>
              <w:t>录，且该机构显示状态为“正常</w:t>
            </w:r>
            <w:r>
              <w:rPr>
                <w:spacing w:val="-60"/>
              </w:rPr>
              <w:t xml:space="preserve"> </w:t>
            </w:r>
            <w:r>
              <w:rPr>
                <w:spacing w:val="8"/>
              </w:rPr>
              <w:t>”；</w:t>
            </w:r>
          </w:p>
          <w:p w14:paraId="0A7D0696">
            <w:pPr>
              <w:pStyle w:val="7"/>
              <w:spacing w:before="5" w:line="431" w:lineRule="auto"/>
              <w:ind w:left="113" w:right="107"/>
              <w:jc w:val="both"/>
            </w:pPr>
            <w:r>
              <w:rPr>
                <w:spacing w:val="7"/>
              </w:rPr>
              <w:t>注：评分中出现无证明资料或专家无法凭所提供资料判断是否得分的情况，一律作不得分处理。《中华人民共和国境外非政府组织境内活动管</w:t>
            </w:r>
            <w:r>
              <w:rPr>
                <w:spacing w:val="4"/>
              </w:rPr>
              <w:t>理法》规定的“离岸社团</w:t>
            </w:r>
            <w:r>
              <w:rPr>
                <w:spacing w:val="-57"/>
              </w:rPr>
              <w:t xml:space="preserve"> </w:t>
            </w:r>
            <w:r>
              <w:rPr>
                <w:spacing w:val="4"/>
              </w:rPr>
              <w:t>”“</w:t>
            </w:r>
            <w:r>
              <w:rPr>
                <w:spacing w:val="-73"/>
              </w:rPr>
              <w:t xml:space="preserve"> </w:t>
            </w:r>
            <w:r>
              <w:rPr>
                <w:spacing w:val="4"/>
              </w:rPr>
              <w:t>山寨社团</w:t>
            </w:r>
            <w:r>
              <w:rPr>
                <w:spacing w:val="-70"/>
              </w:rPr>
              <w:t xml:space="preserve"> </w:t>
            </w:r>
            <w:r>
              <w:rPr>
                <w:spacing w:val="4"/>
              </w:rPr>
              <w:t>”，《取缔非法民间组织暂行办</w:t>
            </w:r>
            <w:r>
              <w:rPr>
                <w:spacing w:val="7"/>
              </w:rPr>
              <w:t>法》（民政部令第</w:t>
            </w:r>
            <w:r>
              <w:rPr>
                <w:spacing w:val="-19"/>
              </w:rPr>
              <w:t xml:space="preserve"> </w:t>
            </w:r>
            <w:r>
              <w:rPr>
                <w:spacing w:val="7"/>
              </w:rPr>
              <w:t>21</w:t>
            </w:r>
            <w:r>
              <w:rPr>
                <w:spacing w:val="-35"/>
              </w:rPr>
              <w:t xml:space="preserve"> </w:t>
            </w:r>
            <w:r>
              <w:rPr>
                <w:spacing w:val="7"/>
              </w:rPr>
              <w:t>号）规定的“非法社会组织</w:t>
            </w:r>
            <w:r>
              <w:rPr>
                <w:spacing w:val="-70"/>
              </w:rPr>
              <w:t xml:space="preserve"> </w:t>
            </w:r>
            <w:r>
              <w:rPr>
                <w:spacing w:val="7"/>
              </w:rPr>
              <w:t>”颁发的证书，均不</w:t>
            </w:r>
            <w:r>
              <w:rPr>
                <w:spacing w:val="4"/>
              </w:rPr>
              <w:t>得作为。</w:t>
            </w:r>
          </w:p>
          <w:p w14:paraId="46F01052">
            <w:pPr>
              <w:pStyle w:val="7"/>
              <w:spacing w:before="2" w:line="389" w:lineRule="auto"/>
              <w:ind w:left="113" w:right="107" w:firstLine="4"/>
              <w:jc w:val="both"/>
            </w:pPr>
            <w:r>
              <w:rPr>
                <w:spacing w:val="7"/>
              </w:rPr>
              <w:t>3.以上资料均要求提供扫描件或</w:t>
            </w:r>
            <w:r>
              <w:rPr>
                <w:rFonts w:hint="eastAsia"/>
                <w:spacing w:val="7"/>
                <w:lang w:eastAsia="zh-CN"/>
              </w:rPr>
              <w:t>复印件并加盖</w:t>
            </w:r>
            <w:r>
              <w:rPr>
                <w:spacing w:val="7"/>
              </w:rPr>
              <w:t>投标人公章，原件备查。评分中出现无证明资料或专家无法凭所提供资料判断是否得分的情况，一律作不得分处理。</w:t>
            </w:r>
          </w:p>
        </w:tc>
      </w:tr>
      <w:tr w14:paraId="566E2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0" w:hRule="atLeast"/>
        </w:trPr>
        <w:tc>
          <w:tcPr>
            <w:tcW w:w="1415" w:type="dxa"/>
            <w:vMerge w:val="continue"/>
            <w:tcBorders>
              <w:top w:val="nil"/>
              <w:bottom w:val="nil"/>
            </w:tcBorders>
            <w:vAlign w:val="top"/>
          </w:tcPr>
          <w:p w14:paraId="35C9A7E9">
            <w:pPr>
              <w:rPr>
                <w:rFonts w:ascii="Arial"/>
                <w:sz w:val="21"/>
              </w:rPr>
            </w:pPr>
          </w:p>
        </w:tc>
        <w:tc>
          <w:tcPr>
            <w:tcW w:w="1394" w:type="dxa"/>
            <w:vAlign w:val="top"/>
          </w:tcPr>
          <w:p w14:paraId="068FBA9F">
            <w:pPr>
              <w:spacing w:line="257" w:lineRule="auto"/>
              <w:rPr>
                <w:rFonts w:ascii="Arial"/>
                <w:sz w:val="21"/>
              </w:rPr>
            </w:pPr>
          </w:p>
          <w:p w14:paraId="36DDDD10">
            <w:pPr>
              <w:spacing w:line="257" w:lineRule="auto"/>
              <w:rPr>
                <w:rFonts w:ascii="Arial"/>
                <w:sz w:val="21"/>
              </w:rPr>
            </w:pPr>
          </w:p>
          <w:p w14:paraId="5DD6A47E">
            <w:pPr>
              <w:spacing w:line="257" w:lineRule="auto"/>
              <w:rPr>
                <w:rFonts w:ascii="Arial"/>
                <w:sz w:val="21"/>
              </w:rPr>
            </w:pPr>
          </w:p>
          <w:p w14:paraId="6CEC541B">
            <w:pPr>
              <w:spacing w:line="257" w:lineRule="auto"/>
              <w:rPr>
                <w:rFonts w:ascii="Arial"/>
                <w:sz w:val="21"/>
              </w:rPr>
            </w:pPr>
          </w:p>
          <w:p w14:paraId="3EB29EAE">
            <w:pPr>
              <w:spacing w:line="257" w:lineRule="auto"/>
              <w:rPr>
                <w:rFonts w:ascii="Arial"/>
                <w:sz w:val="21"/>
              </w:rPr>
            </w:pPr>
          </w:p>
          <w:p w14:paraId="379E9283">
            <w:pPr>
              <w:spacing w:line="257" w:lineRule="auto"/>
              <w:rPr>
                <w:rFonts w:ascii="Arial"/>
                <w:sz w:val="21"/>
              </w:rPr>
            </w:pPr>
          </w:p>
          <w:p w14:paraId="1C04B444">
            <w:pPr>
              <w:spacing w:line="258" w:lineRule="auto"/>
              <w:rPr>
                <w:rFonts w:ascii="Arial"/>
                <w:sz w:val="21"/>
              </w:rPr>
            </w:pPr>
          </w:p>
          <w:p w14:paraId="22B07B46">
            <w:pPr>
              <w:spacing w:line="258" w:lineRule="auto"/>
              <w:rPr>
                <w:rFonts w:ascii="Arial"/>
                <w:sz w:val="21"/>
              </w:rPr>
            </w:pPr>
          </w:p>
          <w:p w14:paraId="120F29EC">
            <w:pPr>
              <w:spacing w:line="258" w:lineRule="auto"/>
              <w:rPr>
                <w:rFonts w:ascii="Arial"/>
                <w:sz w:val="21"/>
              </w:rPr>
            </w:pPr>
          </w:p>
          <w:p w14:paraId="1246DDA7">
            <w:pPr>
              <w:spacing w:line="258" w:lineRule="auto"/>
              <w:rPr>
                <w:rFonts w:ascii="Arial"/>
                <w:sz w:val="21"/>
              </w:rPr>
            </w:pPr>
          </w:p>
          <w:p w14:paraId="6B311A3B">
            <w:pPr>
              <w:spacing w:line="258" w:lineRule="auto"/>
              <w:rPr>
                <w:rFonts w:ascii="Arial"/>
                <w:sz w:val="21"/>
              </w:rPr>
            </w:pPr>
          </w:p>
          <w:p w14:paraId="2F3E892B">
            <w:pPr>
              <w:spacing w:line="258" w:lineRule="auto"/>
              <w:rPr>
                <w:rFonts w:ascii="Arial"/>
                <w:sz w:val="21"/>
              </w:rPr>
            </w:pPr>
          </w:p>
          <w:p w14:paraId="679EB9FC">
            <w:pPr>
              <w:pStyle w:val="7"/>
              <w:spacing w:before="65" w:line="228" w:lineRule="auto"/>
              <w:ind w:left="281"/>
            </w:pPr>
            <w:r>
              <w:rPr>
                <w:spacing w:val="7"/>
              </w:rPr>
              <w:t>服务网点</w:t>
            </w:r>
          </w:p>
        </w:tc>
        <w:tc>
          <w:tcPr>
            <w:tcW w:w="1056" w:type="dxa"/>
            <w:vAlign w:val="top"/>
          </w:tcPr>
          <w:p w14:paraId="2646A0CD">
            <w:pPr>
              <w:spacing w:line="257" w:lineRule="auto"/>
              <w:rPr>
                <w:rFonts w:ascii="Arial"/>
                <w:sz w:val="21"/>
              </w:rPr>
            </w:pPr>
          </w:p>
          <w:p w14:paraId="5CFDA0D9">
            <w:pPr>
              <w:spacing w:line="257" w:lineRule="auto"/>
              <w:rPr>
                <w:rFonts w:ascii="Arial"/>
                <w:sz w:val="21"/>
              </w:rPr>
            </w:pPr>
          </w:p>
          <w:p w14:paraId="1AA475A4">
            <w:pPr>
              <w:spacing w:line="257" w:lineRule="auto"/>
              <w:rPr>
                <w:rFonts w:ascii="Arial"/>
                <w:sz w:val="21"/>
              </w:rPr>
            </w:pPr>
          </w:p>
          <w:p w14:paraId="26B67EE8">
            <w:pPr>
              <w:spacing w:line="257" w:lineRule="auto"/>
              <w:rPr>
                <w:rFonts w:ascii="Arial"/>
                <w:sz w:val="21"/>
              </w:rPr>
            </w:pPr>
          </w:p>
          <w:p w14:paraId="714A242D">
            <w:pPr>
              <w:spacing w:line="257" w:lineRule="auto"/>
              <w:rPr>
                <w:rFonts w:ascii="Arial"/>
                <w:sz w:val="21"/>
              </w:rPr>
            </w:pPr>
          </w:p>
          <w:p w14:paraId="4B65B964">
            <w:pPr>
              <w:spacing w:line="258" w:lineRule="auto"/>
              <w:rPr>
                <w:rFonts w:ascii="Arial"/>
                <w:sz w:val="21"/>
              </w:rPr>
            </w:pPr>
          </w:p>
          <w:p w14:paraId="4CDD5224">
            <w:pPr>
              <w:spacing w:line="258" w:lineRule="auto"/>
              <w:rPr>
                <w:rFonts w:ascii="Arial"/>
                <w:sz w:val="21"/>
              </w:rPr>
            </w:pPr>
          </w:p>
          <w:p w14:paraId="2F54535D">
            <w:pPr>
              <w:spacing w:line="258" w:lineRule="auto"/>
              <w:rPr>
                <w:rFonts w:ascii="Arial"/>
                <w:sz w:val="21"/>
              </w:rPr>
            </w:pPr>
          </w:p>
          <w:p w14:paraId="46E9A131">
            <w:pPr>
              <w:spacing w:line="258" w:lineRule="auto"/>
              <w:rPr>
                <w:rFonts w:ascii="Arial"/>
                <w:sz w:val="21"/>
              </w:rPr>
            </w:pPr>
          </w:p>
          <w:p w14:paraId="4F465D84">
            <w:pPr>
              <w:spacing w:line="258" w:lineRule="auto"/>
              <w:rPr>
                <w:rFonts w:ascii="Arial"/>
                <w:sz w:val="21"/>
              </w:rPr>
            </w:pPr>
          </w:p>
          <w:p w14:paraId="31CCFFC7">
            <w:pPr>
              <w:spacing w:line="258" w:lineRule="auto"/>
              <w:rPr>
                <w:rFonts w:ascii="Arial"/>
                <w:sz w:val="21"/>
              </w:rPr>
            </w:pPr>
          </w:p>
          <w:p w14:paraId="3C38B196">
            <w:pPr>
              <w:spacing w:line="258" w:lineRule="auto"/>
              <w:rPr>
                <w:rFonts w:ascii="Arial"/>
                <w:sz w:val="21"/>
              </w:rPr>
            </w:pPr>
          </w:p>
          <w:p w14:paraId="052BABA1">
            <w:pPr>
              <w:pStyle w:val="7"/>
              <w:spacing w:before="65" w:line="228" w:lineRule="auto"/>
              <w:ind w:left="352"/>
            </w:pPr>
            <w:r>
              <w:rPr>
                <w:spacing w:val="-4"/>
              </w:rPr>
              <w:t>3</w:t>
            </w:r>
            <w:r>
              <w:rPr>
                <w:spacing w:val="-38"/>
              </w:rPr>
              <w:t xml:space="preserve"> </w:t>
            </w:r>
            <w:r>
              <w:rPr>
                <w:spacing w:val="-4"/>
              </w:rPr>
              <w:t>分</w:t>
            </w:r>
          </w:p>
        </w:tc>
        <w:tc>
          <w:tcPr>
            <w:tcW w:w="6655" w:type="dxa"/>
            <w:vAlign w:val="top"/>
          </w:tcPr>
          <w:p w14:paraId="5780D2BC">
            <w:pPr>
              <w:pStyle w:val="7"/>
              <w:spacing w:before="131" w:line="228" w:lineRule="auto"/>
              <w:ind w:left="123"/>
            </w:pPr>
            <w:r>
              <w:rPr>
                <w:b/>
                <w:bCs/>
                <w:spacing w:val="4"/>
              </w:rPr>
              <w:t>（一）评分内容：</w:t>
            </w:r>
          </w:p>
          <w:p w14:paraId="234BD999">
            <w:pPr>
              <w:pStyle w:val="7"/>
              <w:spacing w:before="221" w:line="432" w:lineRule="auto"/>
              <w:ind w:left="116" w:right="110"/>
            </w:pPr>
            <w:r>
              <w:rPr>
                <w:spacing w:val="7"/>
              </w:rPr>
              <w:t>投标人在本项目所在市内有售后服务网点，或投标人承诺中标后提供本</w:t>
            </w:r>
            <w:r>
              <w:rPr>
                <w:spacing w:val="6"/>
              </w:rPr>
              <w:t>项目所在市售后服务的，得</w:t>
            </w:r>
            <w:r>
              <w:rPr>
                <w:spacing w:val="-27"/>
              </w:rPr>
              <w:t xml:space="preserve"> </w:t>
            </w:r>
            <w:r>
              <w:rPr>
                <w:spacing w:val="6"/>
              </w:rPr>
              <w:t>3</w:t>
            </w:r>
            <w:r>
              <w:rPr>
                <w:spacing w:val="-36"/>
              </w:rPr>
              <w:t xml:space="preserve"> </w:t>
            </w:r>
            <w:r>
              <w:rPr>
                <w:spacing w:val="6"/>
              </w:rPr>
              <w:t>分。</w:t>
            </w:r>
          </w:p>
          <w:p w14:paraId="3A8C1B0D">
            <w:pPr>
              <w:pStyle w:val="7"/>
              <w:spacing w:line="226" w:lineRule="auto"/>
              <w:ind w:left="123"/>
            </w:pPr>
            <w:r>
              <w:rPr>
                <w:b/>
                <w:bCs/>
                <w:spacing w:val="4"/>
              </w:rPr>
              <w:t>（二）评分依据：</w:t>
            </w:r>
          </w:p>
          <w:p w14:paraId="7519C9E3">
            <w:pPr>
              <w:pStyle w:val="7"/>
              <w:spacing w:before="222" w:line="432" w:lineRule="auto"/>
              <w:ind w:left="113" w:right="39" w:firstLine="15"/>
            </w:pPr>
            <w:r>
              <w:rPr>
                <w:spacing w:val="6"/>
              </w:rPr>
              <w:t>1.投标人在本项目所在市内有售后服务网点的，提供投标人售后服务合</w:t>
            </w:r>
            <w:r>
              <w:rPr>
                <w:spacing w:val="7"/>
              </w:rPr>
              <w:t>作单位的证明材料（合作协议、服务合作单位的营业执照）或自身售后服务机构的证明材料（自身售后服务机构的营业执照）或投标人在本地</w:t>
            </w:r>
            <w:r>
              <w:rPr>
                <w:spacing w:val="3"/>
              </w:rPr>
              <w:t>设立的项目部、办公室、办事处等售后服务网点的证明材料（如房产证、</w:t>
            </w:r>
            <w:r>
              <w:rPr>
                <w:spacing w:val="8"/>
              </w:rPr>
              <w:t>房产买卖合同、租赁合同等</w:t>
            </w:r>
            <w:r>
              <w:rPr>
                <w:spacing w:val="-4"/>
              </w:rPr>
              <w:t>），</w:t>
            </w:r>
            <w:r>
              <w:rPr>
                <w:spacing w:val="8"/>
              </w:rPr>
              <w:t>未提供证明材料或证明材料内容不满足</w:t>
            </w:r>
            <w:r>
              <w:rPr>
                <w:spacing w:val="7"/>
              </w:rPr>
              <w:t>要求不得分；投标人承诺中标后提供本项目所在市售后服务的，提供承</w:t>
            </w:r>
            <w:r>
              <w:rPr>
                <w:spacing w:val="9"/>
              </w:rPr>
              <w:t>诺函（格式自定</w:t>
            </w:r>
            <w:r>
              <w:rPr>
                <w:spacing w:val="15"/>
              </w:rPr>
              <w:t>），</w:t>
            </w:r>
            <w:r>
              <w:rPr>
                <w:spacing w:val="9"/>
              </w:rPr>
              <w:t>未提供承诺或承诺内容不满足</w:t>
            </w:r>
            <w:r>
              <w:rPr>
                <w:spacing w:val="8"/>
              </w:rPr>
              <w:t>要求不得分。</w:t>
            </w:r>
          </w:p>
          <w:p w14:paraId="66107568">
            <w:pPr>
              <w:pStyle w:val="7"/>
              <w:spacing w:line="389" w:lineRule="auto"/>
              <w:ind w:left="115" w:right="107"/>
            </w:pPr>
            <w:r>
              <w:rPr>
                <w:spacing w:val="7"/>
              </w:rPr>
              <w:t>2.以上资料均要求提供</w:t>
            </w:r>
            <w:r>
              <w:rPr>
                <w:rFonts w:hint="eastAsia"/>
                <w:spacing w:val="7"/>
                <w:lang w:eastAsia="zh-CN"/>
              </w:rPr>
              <w:t>复印件并加盖</w:t>
            </w:r>
            <w:r>
              <w:rPr>
                <w:spacing w:val="7"/>
              </w:rPr>
              <w:t>投标人公章，原件备查。评分中出现无证明资料或专家无法凭所提供资料判断是否得分的情况，一律作不得</w:t>
            </w:r>
            <w:r>
              <w:rPr>
                <w:spacing w:val="4"/>
              </w:rPr>
              <w:t>分处理。</w:t>
            </w:r>
          </w:p>
        </w:tc>
      </w:tr>
      <w:tr w14:paraId="6BA00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1415" w:type="dxa"/>
            <w:vMerge w:val="continue"/>
            <w:tcBorders>
              <w:top w:val="nil"/>
            </w:tcBorders>
            <w:vAlign w:val="top"/>
          </w:tcPr>
          <w:p w14:paraId="3D191850">
            <w:pPr>
              <w:rPr>
                <w:rFonts w:ascii="Arial"/>
                <w:sz w:val="21"/>
              </w:rPr>
            </w:pPr>
          </w:p>
        </w:tc>
        <w:tc>
          <w:tcPr>
            <w:tcW w:w="1394" w:type="dxa"/>
            <w:vAlign w:val="top"/>
          </w:tcPr>
          <w:p w14:paraId="2D33CCEF">
            <w:pPr>
              <w:spacing w:line="301" w:lineRule="auto"/>
              <w:rPr>
                <w:rFonts w:ascii="Arial"/>
                <w:sz w:val="21"/>
              </w:rPr>
            </w:pPr>
          </w:p>
          <w:p w14:paraId="0271410B">
            <w:pPr>
              <w:pStyle w:val="7"/>
              <w:spacing w:before="65" w:line="228" w:lineRule="auto"/>
              <w:ind w:left="280"/>
            </w:pPr>
            <w:r>
              <w:rPr>
                <w:spacing w:val="7"/>
              </w:rPr>
              <w:t>诚信情况</w:t>
            </w:r>
          </w:p>
        </w:tc>
        <w:tc>
          <w:tcPr>
            <w:tcW w:w="1056" w:type="dxa"/>
            <w:vAlign w:val="top"/>
          </w:tcPr>
          <w:p w14:paraId="01EF2248">
            <w:pPr>
              <w:spacing w:line="302" w:lineRule="auto"/>
              <w:rPr>
                <w:rFonts w:ascii="Arial"/>
                <w:sz w:val="21"/>
              </w:rPr>
            </w:pPr>
          </w:p>
          <w:p w14:paraId="7F9C4A50">
            <w:pPr>
              <w:pStyle w:val="7"/>
              <w:spacing w:before="65" w:line="228" w:lineRule="auto"/>
              <w:ind w:left="352"/>
            </w:pPr>
            <w:r>
              <w:rPr>
                <w:spacing w:val="-4"/>
              </w:rPr>
              <w:t>5</w:t>
            </w:r>
            <w:r>
              <w:rPr>
                <w:spacing w:val="-38"/>
              </w:rPr>
              <w:t xml:space="preserve"> </w:t>
            </w:r>
            <w:r>
              <w:rPr>
                <w:spacing w:val="-4"/>
              </w:rPr>
              <w:t>分</w:t>
            </w:r>
          </w:p>
        </w:tc>
        <w:tc>
          <w:tcPr>
            <w:tcW w:w="6655" w:type="dxa"/>
            <w:vAlign w:val="top"/>
          </w:tcPr>
          <w:p w14:paraId="5EB02E34">
            <w:pPr>
              <w:pStyle w:val="7"/>
              <w:spacing w:before="133" w:line="228" w:lineRule="auto"/>
              <w:ind w:left="123"/>
            </w:pPr>
            <w:r>
              <w:rPr>
                <w:b/>
                <w:bCs/>
                <w:spacing w:val="4"/>
              </w:rPr>
              <w:t>（一）评分内容：</w:t>
            </w:r>
          </w:p>
          <w:p w14:paraId="5A34D90C">
            <w:pPr>
              <w:pStyle w:val="7"/>
              <w:spacing w:before="221" w:line="227" w:lineRule="auto"/>
              <w:ind w:left="115"/>
            </w:pPr>
            <w:r>
              <w:rPr>
                <w:spacing w:val="9"/>
              </w:rPr>
              <w:t>参照《深圳市财政局关于印发</w:t>
            </w:r>
            <w:r>
              <w:rPr>
                <w:rFonts w:hint="eastAsia"/>
                <w:spacing w:val="9"/>
                <w:lang w:eastAsia="zh-CN"/>
              </w:rPr>
              <w:t>〈</w:t>
            </w:r>
            <w:r>
              <w:rPr>
                <w:spacing w:val="9"/>
              </w:rPr>
              <w:t>深圳市财政局政府采购参评人信用信息</w:t>
            </w:r>
          </w:p>
        </w:tc>
      </w:tr>
    </w:tbl>
    <w:p w14:paraId="0E16A769">
      <w:pPr>
        <w:spacing w:line="46" w:lineRule="exact"/>
      </w:pPr>
    </w:p>
    <w:tbl>
      <w:tblPr>
        <w:tblStyle w:val="8"/>
        <w:tblW w:w="105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1394"/>
        <w:gridCol w:w="1056"/>
        <w:gridCol w:w="6655"/>
      </w:tblGrid>
      <w:tr w14:paraId="1CD60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3" w:hRule="atLeast"/>
        </w:trPr>
        <w:tc>
          <w:tcPr>
            <w:tcW w:w="1415" w:type="dxa"/>
            <w:vAlign w:val="top"/>
          </w:tcPr>
          <w:p w14:paraId="21089929">
            <w:pPr>
              <w:rPr>
                <w:rFonts w:ascii="Arial"/>
                <w:sz w:val="21"/>
              </w:rPr>
            </w:pPr>
          </w:p>
        </w:tc>
        <w:tc>
          <w:tcPr>
            <w:tcW w:w="1394" w:type="dxa"/>
            <w:vAlign w:val="top"/>
          </w:tcPr>
          <w:p w14:paraId="6B7DFC79">
            <w:pPr>
              <w:rPr>
                <w:rFonts w:ascii="Arial"/>
                <w:sz w:val="21"/>
              </w:rPr>
            </w:pPr>
          </w:p>
        </w:tc>
        <w:tc>
          <w:tcPr>
            <w:tcW w:w="1056" w:type="dxa"/>
            <w:vAlign w:val="top"/>
          </w:tcPr>
          <w:p w14:paraId="6061CDCE">
            <w:pPr>
              <w:rPr>
                <w:rFonts w:ascii="Arial"/>
                <w:sz w:val="21"/>
              </w:rPr>
            </w:pPr>
          </w:p>
        </w:tc>
        <w:tc>
          <w:tcPr>
            <w:tcW w:w="6655" w:type="dxa"/>
            <w:vAlign w:val="top"/>
          </w:tcPr>
          <w:p w14:paraId="06AA2165">
            <w:pPr>
              <w:pStyle w:val="7"/>
              <w:spacing w:before="134" w:line="432" w:lineRule="auto"/>
              <w:ind w:left="113" w:right="70" w:firstLine="5"/>
              <w:jc w:val="both"/>
            </w:pPr>
            <w:r>
              <w:rPr>
                <w:spacing w:val="8"/>
              </w:rPr>
              <w:t>管理办法</w:t>
            </w:r>
            <w:r>
              <w:rPr>
                <w:rFonts w:hint="eastAsia"/>
                <w:spacing w:val="8"/>
                <w:lang w:eastAsia="zh-CN"/>
              </w:rPr>
              <w:t>〉的通知》</w:t>
            </w:r>
            <w:r>
              <w:rPr>
                <w:spacing w:val="8"/>
              </w:rPr>
              <w:t>（深财规〔2023〕3</w:t>
            </w:r>
            <w:r>
              <w:rPr>
                <w:spacing w:val="-28"/>
              </w:rPr>
              <w:t xml:space="preserve"> </w:t>
            </w:r>
            <w:r>
              <w:rPr>
                <w:spacing w:val="8"/>
              </w:rPr>
              <w:t>号）相关规定，如参评人在全</w:t>
            </w:r>
            <w:r>
              <w:rPr>
                <w:spacing w:val="7"/>
              </w:rPr>
              <w:t>国范围内存在因政府采购违法、违规行为受到财政部门罚款等一般行政处罚信息，或者存在该办法第十一条所称在本市集中采购活动中的一般</w:t>
            </w:r>
            <w:r>
              <w:rPr>
                <w:spacing w:val="8"/>
              </w:rPr>
              <w:t>违法失信行为记录信息，且在公示期内的，本项不得分，否则得满分。</w:t>
            </w:r>
          </w:p>
          <w:p w14:paraId="0769C490">
            <w:pPr>
              <w:pStyle w:val="7"/>
              <w:spacing w:line="226" w:lineRule="auto"/>
              <w:ind w:left="123"/>
              <w:outlineLvl w:val="1"/>
            </w:pPr>
            <w:r>
              <w:rPr>
                <w:b/>
                <w:bCs/>
                <w:spacing w:val="4"/>
              </w:rPr>
              <w:t>（二）评分依据：</w:t>
            </w:r>
          </w:p>
          <w:p w14:paraId="3C030DEA">
            <w:pPr>
              <w:pStyle w:val="7"/>
              <w:spacing w:before="223" w:line="390" w:lineRule="auto"/>
              <w:ind w:left="112" w:right="55"/>
              <w:jc w:val="both"/>
            </w:pPr>
            <w:r>
              <w:rPr>
                <w:spacing w:val="4"/>
              </w:rPr>
              <w:t>采购代理机构通过“信用中国</w:t>
            </w:r>
            <w:r>
              <w:rPr>
                <w:spacing w:val="-56"/>
              </w:rPr>
              <w:t xml:space="preserve"> </w:t>
            </w:r>
            <w:r>
              <w:rPr>
                <w:rFonts w:hint="eastAsia"/>
                <w:spacing w:val="-56"/>
                <w:lang w:eastAsia="zh-CN"/>
              </w:rPr>
              <w:t>”“</w:t>
            </w:r>
            <w:r>
              <w:rPr>
                <w:spacing w:val="-70"/>
              </w:rPr>
              <w:t xml:space="preserve"> </w:t>
            </w:r>
            <w:r>
              <w:rPr>
                <w:spacing w:val="4"/>
              </w:rPr>
              <w:t>中国政府采购网</w:t>
            </w:r>
            <w:r>
              <w:rPr>
                <w:spacing w:val="-72"/>
              </w:rPr>
              <w:t xml:space="preserve"> </w:t>
            </w:r>
            <w:r>
              <w:rPr>
                <w:rFonts w:hint="eastAsia"/>
                <w:spacing w:val="-72"/>
                <w:lang w:eastAsia="zh-CN"/>
              </w:rPr>
              <w:t>”“</w:t>
            </w:r>
            <w:r>
              <w:rPr>
                <w:spacing w:val="4"/>
              </w:rPr>
              <w:t>深圳市政府</w:t>
            </w:r>
            <w:r>
              <w:rPr>
                <w:spacing w:val="1"/>
              </w:rPr>
              <w:t>采购监管网</w:t>
            </w:r>
            <w:r>
              <w:rPr>
                <w:spacing w:val="-52"/>
              </w:rPr>
              <w:t xml:space="preserve"> </w:t>
            </w:r>
            <w:r>
              <w:rPr>
                <w:spacing w:val="1"/>
              </w:rPr>
              <w:t>”以及市、区财政部门认定的其他渠道查询参评人信用信息，</w:t>
            </w:r>
            <w:r>
              <w:rPr>
                <w:spacing w:val="8"/>
              </w:rPr>
              <w:t>参评人无需提供证明材料。</w:t>
            </w:r>
          </w:p>
        </w:tc>
      </w:tr>
    </w:tbl>
    <w:p w14:paraId="380B24B1">
      <w:pPr>
        <w:rPr>
          <w:rFonts w:ascii="Arial"/>
          <w:sz w:val="21"/>
        </w:rPr>
      </w:pPr>
    </w:p>
    <w:p w14:paraId="75567B8F">
      <w:pPr>
        <w:rPr>
          <w:rFonts w:ascii="Arial" w:hAnsi="Arial" w:eastAsia="Arial" w:cs="Arial"/>
          <w:sz w:val="21"/>
          <w:szCs w:val="21"/>
        </w:rPr>
        <w:sectPr>
          <w:footerReference r:id="rId16" w:type="default"/>
          <w:pgSz w:w="11906" w:h="16839"/>
          <w:pgMar w:top="1087" w:right="690" w:bottom="1065" w:left="690" w:header="810" w:footer="903" w:gutter="0"/>
          <w:cols w:space="720" w:num="1"/>
        </w:sectPr>
      </w:pPr>
    </w:p>
    <w:p w14:paraId="1DA03CCB"/>
    <w:sectPr>
      <w:headerReference r:id="rId17" w:type="default"/>
      <w:footerReference r:id="rId1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D0B4A">
    <w:pPr>
      <w:spacing w:line="176" w:lineRule="auto"/>
      <w:ind w:left="474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4BC22">
    <w:pPr>
      <w:spacing w:line="176" w:lineRule="auto"/>
      <w:ind w:left="474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3B9A6">
    <w:pPr>
      <w:spacing w:line="176" w:lineRule="auto"/>
      <w:ind w:left="495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FB277">
    <w:pPr>
      <w:spacing w:line="176" w:lineRule="auto"/>
      <w:ind w:left="495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369D">
    <w:pPr>
      <w:spacing w:line="176" w:lineRule="auto"/>
      <w:ind w:left="51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852EA">
    <w:pPr>
      <w:spacing w:line="14" w:lineRule="auto"/>
      <w:rPr>
        <w:rFonts w:ascii="Arial"/>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9C449">
    <w:pPr>
      <w:spacing w:line="176" w:lineRule="auto"/>
      <w:ind w:left="517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8CD45">
    <w:pPr>
      <w:spacing w:line="14" w:lineRule="auto"/>
      <w:rPr>
        <w:rFonts w:ascii="Arial"/>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4FA15">
    <w:pPr>
      <w:spacing w:line="176" w:lineRule="auto"/>
      <w:ind w:left="517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5D95E">
    <w:pPr>
      <w:spacing w:line="176" w:lineRule="auto"/>
      <w:ind w:left="4774"/>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EFECA">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D4A0F">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3B006">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20ED">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38FAD">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37766">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5E5A33"/>
    <w:rsid w:val="545E5A33"/>
    <w:rsid w:val="61115DD8"/>
    <w:rsid w:val="71D4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3">
    <w:name w:val="Body Text"/>
    <w:basedOn w:val="1"/>
    <w:semiHidden/>
    <w:qFormat/>
    <w:uiPriority w:val="0"/>
    <w:rPr>
      <w:rFonts w:ascii="宋体" w:hAnsi="宋体" w:eastAsia="宋体" w:cs="宋体"/>
      <w:sz w:val="31"/>
      <w:szCs w:val="31"/>
      <w:lang w:val="en-US" w:eastAsia="en-US"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Text"/>
    <w:basedOn w:val="1"/>
    <w:semiHidden/>
    <w:qFormat/>
    <w:uiPriority w:val="0"/>
    <w:rPr>
      <w:rFonts w:ascii="宋体" w:hAnsi="宋体" w:eastAsia="宋体" w:cs="宋体"/>
      <w:sz w:val="20"/>
      <w:szCs w:val="20"/>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1df975c6-f609-4317-bbe7-c5fda0998beb</errorID>
      <errorWord>(</errorWord>
      <group>L1_Format</group>
      <groupName>格式问题</groupName>
      <ability>L2_HalfPunc_CN</ability>
      <abilityName>全半角问题</abilityName>
      <candidateList>
        <item>（</item>
      </candidateList>
      <explain>文本全半角错误。</explain>
      <paraID>42E7ED3F</paraID>
      <start>4</start>
      <end>5</end>
      <status>modified</status>
      <modifiedWord>（</modifiedWord>
      <trackRevisions>false</trackRevisions>
    </reviewItem>
    <reviewItem>
      <errorID>4a29a5a2-4f5a-42ad-8f5a-7c6ff984bab6</errorID>
      <errorWord>)</errorWord>
      <group>L1_Format</group>
      <groupName>格式问题</groupName>
      <ability>L2_HalfPunc_CN</ability>
      <abilityName>全半角问题</abilityName>
      <candidateList>
        <item>）</item>
      </candidateList>
      <explain>文本全半角错误。</explain>
      <paraID>42E7ED3F</paraID>
      <start>18</start>
      <end>19</end>
      <status>modified</status>
      <modifiedWord>）</modifiedWord>
      <trackRevisions>false</trackRevisions>
    </reviewItem>
    <reviewItem>
      <errorID>9044c478-6996-47dc-ae32-d482a5b0cac9</errorID>
      <errorWord>其它</errorWord>
      <group>L1_Word</group>
      <groupName>字词问题</groupName>
      <ability>L2_Alias</ability>
      <abilityName>也作/曾用词</abilityName>
      <candidateList>
        <item>其他</item>
      </candidateList>
      <explain>词汇[其它]为不规范表述或旧称，其规范书面表述为[其他]。</explain>
      <paraID>5247BB1F</paraID>
      <start>20</start>
      <end>22</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049e25c3-2640-4daa-9008-c1d4b8c436be}">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2868</Words>
  <Characters>2947</Characters>
  <Lines>0</Lines>
  <Paragraphs>0</Paragraphs>
  <TotalTime>19</TotalTime>
  <ScaleCrop>false</ScaleCrop>
  <LinksUpToDate>false</LinksUpToDate>
  <CharactersWithSpaces>2978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2026-09-29T01:02:00Z</dcterms:created>
  <dc:creator>赖</dc:creator>
  <cp:lastModifiedBy>声声慢</cp:lastModifiedBy>
  <dcterms:modified xsi:type="dcterms:W3CDTF">2026-09-29T08:11:10Z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230BC788941E40F3933761CFCBECD8B8_11</vt:lpwstr>
  </property>
  <property fmtid="{D5CDD505-2E9C-101B-9397-08002B2CF9AE}" pid="4" name="KSOTemplateDocerSaveRecord">
    <vt:lpwstr>eyJoZGlkIjoiOWYyYmE1NDE0NTQ0MzkyOGNmMDQ5NTVhOTNiODk0NWMiLCJ1c2VySWQiOiIzNzAxMzI1MjgifQ==</vt:lpwstr>
  </property>
</Properties>
</file>