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755A5">
      <w:pPr>
        <w:adjustRightInd w:val="0"/>
        <w:snapToGrid w:val="0"/>
        <w:spacing w:line="5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深圳市福田区风湿病专科医院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农林院区医用网络改造联通调试服务项目采购需求</w:t>
      </w:r>
    </w:p>
    <w:p w14:paraId="5E3E2239">
      <w:pPr>
        <w:adjustRightInd w:val="0"/>
        <w:snapToGrid w:val="0"/>
        <w:spacing w:line="50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一、采购项目概况</w:t>
      </w:r>
    </w:p>
    <w:p w14:paraId="3D8F802C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1.项目名称：农林院区医用网络改造联通调试服务项目</w:t>
      </w:r>
    </w:p>
    <w:p w14:paraId="2786DDD9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2.采购人：深圳市福田区风湿病专科医院</w:t>
      </w:r>
    </w:p>
    <w:p w14:paraId="4749C2EF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3.预算金额：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Cs/>
          <w:sz w:val="28"/>
          <w:szCs w:val="28"/>
        </w:rPr>
        <w:t>万元</w:t>
      </w:r>
    </w:p>
    <w:p w14:paraId="45446BBF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4.采购方式：</w:t>
      </w:r>
      <w:r>
        <w:rPr>
          <w:rFonts w:hint="eastAsia" w:ascii="仿宋_GB2312" w:hAnsi="仿宋_GB2312" w:eastAsia="仿宋_GB2312" w:cs="仿宋_GB2312"/>
          <w:sz w:val="28"/>
          <w:szCs w:val="28"/>
        </w:rPr>
        <w:t>直接确定供应商</w:t>
      </w:r>
    </w:p>
    <w:p w14:paraId="012BEA6A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.项目概述：农林院区需完成现有网络现状勘察梳理、医用网络架构重构规划、VLAN划分、IP地址段规划设计与基础网络搭建，开展医用业务局域网络调试、业务终端与医疗设备网络接入调试，保障链路冗余稳定，支撑HIS、LIS、PACS、医用物联网设备及门诊、住院临床业务平稳高效运行。</w:t>
      </w:r>
    </w:p>
    <w:p w14:paraId="55B5337A">
      <w:pPr>
        <w:adjustRightInd w:val="0"/>
        <w:snapToGrid w:val="0"/>
        <w:spacing w:line="500" w:lineRule="exact"/>
        <w:ind w:firstLine="560" w:firstLineChars="200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.标的所属行业：根据《工业和信息化部、国家统计局、国家发展和改革委员会、财政部关于印发中小企业划型标准规定的通知》（工信部联企业〔2011〕300 号），本项目</w:t>
      </w:r>
      <w:bookmarkStart w:id="0" w:name="_Hlk71924718"/>
      <w:r>
        <w:rPr>
          <w:rFonts w:hint="eastAsia" w:ascii="仿宋_GB2312" w:hAnsi="仿宋_GB2312" w:eastAsia="仿宋_GB2312" w:cs="仿宋_GB2312"/>
          <w:sz w:val="28"/>
          <w:szCs w:val="28"/>
        </w:rPr>
        <w:t>采购标的（服务需求）对应的中小企业划分标准所属行业</w:t>
      </w:r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软件和信息技术服务业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466329C8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二、服务要求</w:t>
      </w:r>
    </w:p>
    <w:p w14:paraId="51EAD944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 完成农林院区现有网络现状勘察、部分在用老旧线路梳理排查，整体网络架构梳理、VLAN划分、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IP地址</w:t>
      </w:r>
      <w:r>
        <w:rPr>
          <w:rFonts w:hint="eastAsia" w:ascii="仿宋_GB2312" w:hAnsi="仿宋_GB2312" w:eastAsia="仿宋_GB2312" w:cs="仿宋_GB2312"/>
          <w:sz w:val="28"/>
          <w:szCs w:val="28"/>
        </w:rPr>
        <w:t>段规划设计，输出正式规划文档，完成基础网络搭建配置；</w:t>
      </w:r>
    </w:p>
    <w:p w14:paraId="5777D58E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 负责农林院区内部医用局域网对接调试，保障业务数据正常交互，结合现有条件完成冗余链路规划与配置，降低业务中断风险；</w:t>
      </w:r>
    </w:p>
    <w:p w14:paraId="0DE24B33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 完成医生工作站、护士站、检查检验设备网络接入调试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（仅限网络接入相关工作）</w:t>
      </w:r>
      <w:r>
        <w:rPr>
          <w:rFonts w:hint="eastAsia" w:ascii="仿宋_GB2312" w:hAnsi="仿宋_GB2312" w:eastAsia="仿宋_GB2312" w:cs="仿宋_GB2312"/>
          <w:sz w:val="28"/>
          <w:szCs w:val="28"/>
        </w:rPr>
        <w:t>，保障业务终端稳定入网；</w:t>
      </w:r>
    </w:p>
    <w:p w14:paraId="03F01F34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 临床业务优先，调试作业避开就诊高峰，必要时错峰开展，制定临时业务保障预案，最大限度减少对门诊、住院业务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的影响。</w:t>
      </w:r>
    </w:p>
    <w:p w14:paraId="5DF19921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 对规划使用的医用网络线路和链路做连通性、性能测试，输出链路测试报告，完善设备、端口标签标识；</w:t>
      </w:r>
    </w:p>
    <w:p w14:paraId="74C682F5">
      <w:pPr>
        <w:adjustRightInd w:val="0"/>
        <w:snapToGrid w:val="0"/>
        <w:spacing w:line="50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 输出网络拓扑图、VLAN&amp;IP规划表、网络交换设备和路由设备的配置文档，同步留存设备配置备份文件。</w:t>
      </w:r>
    </w:p>
    <w:p w14:paraId="702A4D6E">
      <w:pPr>
        <w:adjustRightInd w:val="0"/>
        <w:snapToGrid w:val="0"/>
        <w:spacing w:line="50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三、商务需求</w:t>
      </w:r>
    </w:p>
    <w:p w14:paraId="3485B190">
      <w:pPr>
        <w:adjustRightInd w:val="0"/>
        <w:snapToGrid w:val="0"/>
        <w:spacing w:line="50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1.服务期：本项目服务期限自合同签订或约定之日起1年（或12个月）。</w:t>
      </w:r>
      <w:bookmarkStart w:id="1" w:name="_GoBack"/>
      <w:bookmarkEnd w:id="1"/>
    </w:p>
    <w:p w14:paraId="32A08595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2.服务地点：深圳市福田区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香蜜湖街道农林路22号福田</w:t>
      </w:r>
      <w:r>
        <w:rPr>
          <w:rFonts w:hint="eastAsia" w:ascii="仿宋_GB2312" w:eastAsia="仿宋_GB2312"/>
          <w:bCs/>
          <w:sz w:val="28"/>
          <w:szCs w:val="28"/>
        </w:rPr>
        <w:t>风湿病专科医院（农林院区）</w:t>
      </w:r>
    </w:p>
    <w:p w14:paraId="77BCCEB3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3.报价要求：不超过预算金额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Cs/>
          <w:sz w:val="28"/>
          <w:szCs w:val="28"/>
        </w:rPr>
        <w:t>万元。</w:t>
      </w:r>
    </w:p>
    <w:p w14:paraId="4E52D195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4.付款方式：签订合同后，中标方提供合格发票后的10个工作日内，采购方支付合同总价的70%</w:t>
      </w:r>
      <w:r>
        <w:rPr>
          <w:rFonts w:hint="eastAsia" w:ascii="仿宋_GB2312" w:eastAsia="仿宋_GB2312"/>
          <w:bCs/>
          <w:sz w:val="28"/>
          <w:szCs w:val="28"/>
          <w:lang w:eastAsia="zh-CN"/>
        </w:rPr>
        <w:t>；</w:t>
      </w:r>
      <w:r>
        <w:rPr>
          <w:rFonts w:hint="eastAsia" w:ascii="仿宋_GB2312" w:eastAsia="仿宋_GB2312"/>
          <w:bCs/>
          <w:sz w:val="28"/>
          <w:szCs w:val="28"/>
        </w:rPr>
        <w:t>验收合格并经采购人确认后，且中标方提供合格发票后的10个工作日内，采购方支付合同总价的30%。</w:t>
      </w:r>
    </w:p>
    <w:p w14:paraId="3DBAC02A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5.验收方式：自行组织验收，服务方按合同约定提供相关服务，采购方验收通过后方可。</w:t>
      </w:r>
    </w:p>
    <w:p w14:paraId="3926B626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6.违约责任：</w:t>
      </w:r>
    </w:p>
    <w:p w14:paraId="65BE1890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（1）本项目合同履行期间，发生下述情形时，服务方应按采购方要求限期整改：</w:t>
      </w:r>
    </w:p>
    <w:p w14:paraId="7EFBD4C1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①服务方未按照采购方要求按期提交工作成果或报告的，应在10个工作日内整改完毕；</w:t>
      </w:r>
    </w:p>
    <w:p w14:paraId="1E1DF351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②服务方的服务质量未达到采购方要求的，由采购方提出整改意见，服务方根据整改意见完成整改直至通过；</w:t>
      </w:r>
    </w:p>
    <w:p w14:paraId="323474F8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（2）本项目合同履行期间，因服务方对于合同范围内的服务工作执行不力，发生下述情形时，在项目结算时扣除相应违约金，违约金标准由采购方据实确定，最高不超过合同金额的20%：</w:t>
      </w:r>
    </w:p>
    <w:p w14:paraId="21782730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①服务过程中发生网络事件，造成采购方被上级主管单位通报批评，且责任认定为服务方责任的；</w:t>
      </w:r>
    </w:p>
    <w:p w14:paraId="6695A820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②因服务方原因造成采购方财产损失的。</w:t>
      </w:r>
    </w:p>
    <w:p w14:paraId="297BE47A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（3）采购方未按照本项目合同约定支付费用，也未在服务方催告的合理期限内予以支付的，采购方应向服务方支付合同金额20%的违约金，但因财政审批流程等因素造成情形除外。</w:t>
      </w:r>
    </w:p>
    <w:p w14:paraId="660E247E">
      <w:pPr>
        <w:adjustRightInd w:val="0"/>
        <w:snapToGrid w:val="0"/>
        <w:spacing w:line="500" w:lineRule="exact"/>
        <w:ind w:firstLine="56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四、供应商响应文件组成及格式</w:t>
      </w:r>
    </w:p>
    <w:p w14:paraId="7DC20FA5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供应商应提供以下文件，并加盖公章：</w:t>
      </w:r>
    </w:p>
    <w:p w14:paraId="34654655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1.营业执照扫描件（或事业单位法人证书、</w:t>
      </w:r>
      <w:r>
        <w:rPr>
          <w:rFonts w:hint="eastAsia" w:ascii="仿宋_GB2312" w:eastAsia="仿宋_GB2312"/>
          <w:bCs/>
          <w:sz w:val="28"/>
          <w:szCs w:val="28"/>
          <w:lang w:eastAsia="zh-CN"/>
        </w:rPr>
        <w:t>其他</w:t>
      </w:r>
      <w:r>
        <w:rPr>
          <w:rFonts w:hint="eastAsia" w:ascii="仿宋_GB2312" w:eastAsia="仿宋_GB2312"/>
          <w:bCs/>
          <w:sz w:val="28"/>
          <w:szCs w:val="28"/>
        </w:rPr>
        <w:t>具有独立承担民事责任能力的登记证明资料扫描件）</w:t>
      </w:r>
    </w:p>
    <w:p w14:paraId="22D28606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2.法人证明及响应文件签署授权委托书</w:t>
      </w:r>
    </w:p>
    <w:p w14:paraId="23D01622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3.供应商基本情况表</w:t>
      </w:r>
    </w:p>
    <w:p w14:paraId="32865238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4.法定代表人、投标授权代表人、项目负责人（如有）最近一个月的社保缴纳证明，以及企业股权关系证明</w:t>
      </w:r>
    </w:p>
    <w:p w14:paraId="6AC4FB2A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5.承诺函</w:t>
      </w:r>
    </w:p>
    <w:p w14:paraId="6D92B202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6.项目详细报价</w:t>
      </w:r>
    </w:p>
    <w:p w14:paraId="35F543A7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7.服务要求响应表</w:t>
      </w:r>
    </w:p>
    <w:p w14:paraId="06B06D45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8.项目实施方案</w:t>
      </w:r>
    </w:p>
    <w:p w14:paraId="1BA008BD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9.项目重点难点分析、应对措施及相关的合理化建议</w:t>
      </w:r>
    </w:p>
    <w:p w14:paraId="21A33800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10.质量保障措施及方案</w:t>
      </w:r>
    </w:p>
    <w:p w14:paraId="7D47E29B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11.项目完成（服务期满）后的服务承诺</w:t>
      </w:r>
    </w:p>
    <w:p w14:paraId="31CC1079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12.有效业绩</w:t>
      </w:r>
    </w:p>
    <w:p w14:paraId="4D4053FB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13.履约评价</w:t>
      </w:r>
    </w:p>
    <w:p w14:paraId="242C0FE0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14.认证情况</w:t>
      </w:r>
    </w:p>
    <w:p w14:paraId="37594D5D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15.拟安排的项目服务团队成员情况</w:t>
      </w:r>
    </w:p>
    <w:p w14:paraId="24068C4A">
      <w:pPr>
        <w:adjustRightInd w:val="0"/>
        <w:snapToGrid w:val="0"/>
        <w:spacing w:line="500" w:lineRule="exact"/>
        <w:ind w:firstLine="560" w:firstLineChars="200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16.中小企业声明函、残疾人福利性单位声明函或监狱企业声明函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55DA0"/>
    <w:rsid w:val="00256592"/>
    <w:rsid w:val="003778E4"/>
    <w:rsid w:val="003A1D1A"/>
    <w:rsid w:val="00644A7D"/>
    <w:rsid w:val="00693C81"/>
    <w:rsid w:val="00765560"/>
    <w:rsid w:val="008A4A42"/>
    <w:rsid w:val="009C660B"/>
    <w:rsid w:val="00C4421F"/>
    <w:rsid w:val="2BD72B26"/>
    <w:rsid w:val="3E305075"/>
    <w:rsid w:val="683C02FA"/>
    <w:rsid w:val="68E55DA0"/>
    <w:rsid w:val="6B4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annotation text"/>
    <w:basedOn w:val="1"/>
    <w:next w:val="4"/>
    <w:link w:val="14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宋体" w:hAnsi="Times New Roman"/>
      <w:kern w:val="0"/>
      <w:sz w:val="34"/>
      <w:szCs w:val="20"/>
    </w:rPr>
  </w:style>
  <w:style w:type="paragraph" w:styleId="4">
    <w:name w:val="toc 5"/>
    <w:basedOn w:val="1"/>
    <w:next w:val="1"/>
    <w:autoRedefine/>
    <w:unhideWhenUsed/>
    <w:uiPriority w:val="39"/>
    <w:pPr>
      <w:jc w:val="left"/>
    </w:pPr>
    <w:rPr>
      <w:rFonts w:ascii="Times New Roman" w:hAnsi="Times New Roman"/>
    </w:rPr>
  </w:style>
  <w:style w:type="paragraph" w:styleId="5">
    <w:name w:val="Body Text"/>
    <w:basedOn w:val="1"/>
    <w:next w:val="6"/>
    <w:link w:val="13"/>
    <w:qFormat/>
    <w:uiPriority w:val="0"/>
    <w:pPr>
      <w:spacing w:line="360" w:lineRule="auto"/>
    </w:pPr>
    <w:rPr>
      <w:rFonts w:ascii="Times New Roman" w:hAnsi="Times New Roman"/>
      <w:b/>
      <w:bCs/>
      <w:sz w:val="24"/>
    </w:rPr>
  </w:style>
  <w:style w:type="paragraph" w:styleId="6">
    <w:name w:val="Body Text 2"/>
    <w:basedOn w:val="1"/>
    <w:link w:val="17"/>
    <w:uiPriority w:val="0"/>
    <w:pPr>
      <w:spacing w:after="120" w:line="480" w:lineRule="auto"/>
    </w:pPr>
  </w:style>
  <w:style w:type="paragraph" w:styleId="7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Char"/>
    <w:basedOn w:val="10"/>
    <w:link w:val="8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Char"/>
    <w:basedOn w:val="10"/>
    <w:link w:val="7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正文文本 Char"/>
    <w:basedOn w:val="10"/>
    <w:link w:val="5"/>
    <w:qFormat/>
    <w:uiPriority w:val="0"/>
    <w:rPr>
      <w:rFonts w:ascii="Times New Roman" w:hAnsi="Times New Roman" w:eastAsia="宋体" w:cs="Times New Roman"/>
      <w:b/>
      <w:bCs/>
      <w:kern w:val="2"/>
      <w:sz w:val="24"/>
      <w:szCs w:val="24"/>
    </w:rPr>
  </w:style>
  <w:style w:type="character" w:customStyle="1" w:styleId="14">
    <w:name w:val="批注文字 Char"/>
    <w:basedOn w:val="10"/>
    <w:link w:val="3"/>
    <w:qFormat/>
    <w:uiPriority w:val="0"/>
    <w:rPr>
      <w:rFonts w:ascii="宋体" w:hAnsi="Times New Roman" w:eastAsia="宋体" w:cs="Times New Roman"/>
      <w:sz w:val="34"/>
    </w:rPr>
  </w:style>
  <w:style w:type="character" w:customStyle="1" w:styleId="15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6">
    <w:name w:val="font3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正文文本 2 Char"/>
    <w:basedOn w:val="10"/>
    <w:link w:val="6"/>
    <w:uiPriority w:val="0"/>
    <w:rPr>
      <w:rFonts w:ascii="Calibri" w:hAnsi="Calibri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37088ff1-0159-4ab0-b95a-a1799d5ea550</errorID>
      <errorWord>（或</errorWord>
      <group>L1_AI</group>
      <groupName>深度校对</groupName>
      <ability>L2_AI_Word</ability>
      <abilityName>字词纠错</abilityName>
      <candidateList>
        <item>（</item>
      </candidateList>
      <explain/>
      <paraID>3485B190</paraID>
      <start>26</start>
      <end>28</end>
      <status>unmodified</status>
      <modifiedWord/>
      <trackRevisions>false</trackRevisions>
    </reviewItem>
    <reviewItem>
      <errorID>c5bb3535-30da-47b0-88e7-56ed22f91d96</errorID>
      <errorWord>确认后</errorWord>
      <group>L1_AI</group>
      <groupName>深度校对</groupName>
      <ability>L2_AI_Word</ability>
      <abilityName>字词纠错</abilityName>
      <candidateList>
        <item>确认</item>
      </candidateList>
      <explain/>
      <paraID>4E52D195</paraID>
      <start>55</start>
      <end>58</end>
      <status>unmodified</status>
      <modifiedWord/>
      <trackRevisions>false</trackRevisions>
    </reviewItem>
    <reviewItem>
      <errorID>9cddeeb3-1d34-4220-9a75-e591f38c4481</errorID>
      <errorWord>。</errorWord>
      <group>L1_AI</group>
      <groupName>深度校对</groupName>
      <ability>L2_AI_Grammar</ability>
      <abilityName>语法纠错</abilityName>
      <candidateList>
        <item>支付。</item>
      </candidateList>
      <explain/>
      <paraID>3DBAC02A</paraID>
      <start>39</start>
      <end>40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39197d1-d8c7-4362-a41b-46adede0a5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中国微软</Company>
  <Pages>3</Pages>
  <Words>1521</Words>
  <Characters>1601</Characters>
  <Lines>34</Lines>
  <Paragraphs>9</Paragraphs>
  <TotalTime>3</TotalTime>
  <ScaleCrop>false</ScaleCrop>
  <LinksUpToDate>false</LinksUpToDate>
  <CharactersWithSpaces>1611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2026-10-10T02:09:00Z</dcterms:created>
  <dc:creator>赖</dc:creator>
  <cp:lastModifiedBy>声声慢</cp:lastModifiedBy>
  <dcterms:modified xsi:type="dcterms:W3CDTF">2026-10-14T01:52:33Z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57FE9F85F3604A49B5C6A04204BDDC97_11</vt:lpwstr>
  </property>
  <property fmtid="{D5CDD505-2E9C-101B-9397-08002B2CF9AE}" pid="4" name="KSOTemplateDocerSaveRecord">
    <vt:lpwstr>eyJoZGlkIjoiMDYwMjVmMWYzNjQ2YjcxNmE2MGRlY2U0OTVhODUzNTIiLCJ1c2VySWQiOiIzNzAxMzI1MjgifQ==</vt:lpwstr>
  </property>
</Properties>
</file>