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0755A5">
      <w:pPr>
        <w:adjustRightInd w:val="0"/>
        <w:snapToGrid w:val="0"/>
        <w:spacing w:line="500" w:lineRule="exact"/>
        <w:jc w:val="center"/>
        <w:rPr>
          <w:rFonts w:ascii="方正小标宋简体" w:hAnsi="方正小标宋简体" w:eastAsia="方正小标宋简体" w:cs="方正小标宋简体"/>
          <w:bCs/>
          <w:color w:val="auto"/>
          <w:sz w:val="36"/>
          <w:szCs w:val="36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lang w:val="en-US" w:eastAsia="zh-CN"/>
        </w:rPr>
        <w:t>深圳市福田区风湿病专科医院福民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</w:rPr>
        <w:t>院区医用网络改造联通调试服务项目采购需求</w:t>
      </w:r>
    </w:p>
    <w:p w14:paraId="5E3E2239">
      <w:pPr>
        <w:adjustRightInd w:val="0"/>
        <w:snapToGrid w:val="0"/>
        <w:spacing w:line="500" w:lineRule="exact"/>
        <w:ind w:firstLine="560" w:firstLineChars="200"/>
        <w:rPr>
          <w:rFonts w:ascii="黑体" w:hAnsi="黑体" w:eastAsia="黑体" w:cs="黑体"/>
          <w:bCs/>
          <w:color w:val="auto"/>
          <w:sz w:val="28"/>
          <w:szCs w:val="28"/>
        </w:rPr>
      </w:pPr>
      <w:r>
        <w:rPr>
          <w:rFonts w:hint="eastAsia" w:ascii="黑体" w:hAnsi="黑体" w:eastAsia="黑体" w:cs="黑体"/>
          <w:bCs/>
          <w:color w:val="auto"/>
          <w:sz w:val="28"/>
          <w:szCs w:val="28"/>
        </w:rPr>
        <w:t>一、采购项目概况</w:t>
      </w:r>
    </w:p>
    <w:p w14:paraId="3D8F802C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</w:rPr>
        <w:t>1.项目名称：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lang w:eastAsia="zh-CN"/>
        </w:rPr>
        <w:t>福民院区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</w:rPr>
        <w:t>医用网络改造联通调试服务项目</w:t>
      </w:r>
    </w:p>
    <w:p w14:paraId="2786DDD9">
      <w:pPr>
        <w:adjustRightInd w:val="0"/>
        <w:snapToGrid w:val="0"/>
        <w:spacing w:line="500" w:lineRule="exact"/>
        <w:ind w:firstLine="560" w:firstLineChars="200"/>
        <w:rPr>
          <w:rFonts w:hint="eastAsia" w:ascii="仿宋_GB2312" w:hAnsi="仿宋_GB2312" w:eastAsia="仿宋_GB2312" w:cs="仿宋_GB2312"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</w:rPr>
        <w:t>2.采购人：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lang w:val="en-US" w:eastAsia="zh-CN"/>
        </w:rPr>
        <w:t>深圳市福田区风湿病专科医院</w:t>
      </w:r>
    </w:p>
    <w:p w14:paraId="4749C2EF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</w:rPr>
        <w:t>3.预算金额：</w:t>
      </w:r>
      <w:r>
        <w:rPr>
          <w:rFonts w:hint="eastAsia" w:ascii="仿宋_GB2312" w:eastAsia="仿宋_GB2312"/>
          <w:bCs/>
          <w:color w:val="auto"/>
          <w:sz w:val="28"/>
          <w:szCs w:val="28"/>
          <w:u w:val="none"/>
          <w:lang w:val="en-US" w:eastAsia="zh-CN"/>
        </w:rPr>
        <w:t>7.4</w:t>
      </w:r>
      <w:r>
        <w:rPr>
          <w:rFonts w:hint="eastAsia" w:ascii="仿宋_GB2312" w:eastAsia="仿宋_GB2312"/>
          <w:bCs/>
          <w:color w:val="auto"/>
          <w:sz w:val="28"/>
          <w:szCs w:val="28"/>
        </w:rPr>
        <w:t>万元</w:t>
      </w:r>
    </w:p>
    <w:p w14:paraId="45446BBF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</w:rPr>
        <w:t>4.采购方式：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直接确定供应商</w:t>
      </w:r>
    </w:p>
    <w:p w14:paraId="012BEA6A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.项目概述：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福民院区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需完成现有网络现状勘察梳理、医用网络架构重构规划、VLAN划分、IP地址段规划设计与基础网络搭建，开展医用业务局域网络调试、业务终端与医疗设备网络接入调试，保障链路冗余稳定，支撑HIS、LIS、PACS、医用物联网设备及门诊、住院临床业务平稳高效运行。</w:t>
      </w:r>
    </w:p>
    <w:p w14:paraId="55B5337A">
      <w:pPr>
        <w:adjustRightInd w:val="0"/>
        <w:snapToGrid w:val="0"/>
        <w:spacing w:line="500" w:lineRule="exact"/>
        <w:ind w:firstLine="560" w:firstLineChars="200"/>
        <w:rPr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.标的所属行业：根据《工业和信息化部、国家统计局、国家发展和改革委员会、财政部关于印发中小企业划型标准规定的通知》（工信部联企业〔2011〕300 号），本项目</w:t>
      </w:r>
      <w:bookmarkStart w:id="0" w:name="_Hlk71924718"/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采购标的（服务需求）对应的中小企业划分标准所属行业</w:t>
      </w:r>
      <w:bookmarkEnd w:id="0"/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>软件和信息技术服务业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。</w:t>
      </w:r>
    </w:p>
    <w:p w14:paraId="466329C8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黑体" w:hAnsi="黑体" w:eastAsia="黑体" w:cs="黑体"/>
          <w:bCs/>
          <w:color w:val="auto"/>
          <w:sz w:val="28"/>
          <w:szCs w:val="28"/>
        </w:rPr>
        <w:t>二、服务要求</w:t>
      </w:r>
    </w:p>
    <w:p w14:paraId="51EAD944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1. 完成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福民院区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现有网络现状勘察、部分在用老旧线路梳理排查，整体网络架构梳理、VLAN 划分、IP 地址段规划设计，输出正式规划文档，完成基础网络搭建配置；</w:t>
      </w:r>
    </w:p>
    <w:p w14:paraId="5777D58E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2. 负责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福民院区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内部医用局域网对接调试，保障业务数据正常交互，结合现有条件完成冗余链路规划与配置，降低业务中断风险；</w:t>
      </w:r>
    </w:p>
    <w:p w14:paraId="0DE24B33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3. 完成医生工作站、护士站、检查检验设备网络接入调试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仅限网络接入相关工作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，保障业务终端稳定入网；</w:t>
      </w:r>
    </w:p>
    <w:p w14:paraId="03F01F34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4. 临床业务优先，调试作业避开就诊高峰，必要时错峰开展，制定临时业务保障预案，最大限度减少对门诊、住院业务影响；</w:t>
      </w:r>
    </w:p>
    <w:p w14:paraId="5DF19921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5. 对规划使用的医用网络线路和链路做连通性、性能测试，输出链路测试报告，完善设备、端口标签标识；</w:t>
      </w:r>
    </w:p>
    <w:p w14:paraId="74C682F5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6. 输出网络拓扑图、VLAN&amp;IP 规划表、网络交换设备和路由设备的配置文档，同步留存设备配置备份文件。</w:t>
      </w:r>
    </w:p>
    <w:p w14:paraId="702A4D6E">
      <w:pPr>
        <w:adjustRightInd w:val="0"/>
        <w:snapToGrid w:val="0"/>
        <w:spacing w:line="500" w:lineRule="exact"/>
        <w:ind w:firstLine="560" w:firstLineChars="200"/>
        <w:rPr>
          <w:rFonts w:ascii="黑体" w:hAnsi="黑体" w:eastAsia="黑体" w:cs="黑体"/>
          <w:bCs/>
          <w:color w:val="auto"/>
          <w:sz w:val="28"/>
          <w:szCs w:val="28"/>
        </w:rPr>
      </w:pPr>
      <w:r>
        <w:rPr>
          <w:rFonts w:hint="eastAsia" w:ascii="黑体" w:hAnsi="黑体" w:eastAsia="黑体" w:cs="黑体"/>
          <w:bCs/>
          <w:color w:val="auto"/>
          <w:sz w:val="28"/>
          <w:szCs w:val="28"/>
        </w:rPr>
        <w:t>三、商务需求</w:t>
      </w:r>
    </w:p>
    <w:p w14:paraId="3485B190">
      <w:pPr>
        <w:adjustRightInd w:val="0"/>
        <w:snapToGrid w:val="0"/>
        <w:spacing w:line="500" w:lineRule="exact"/>
        <w:ind w:firstLine="560" w:firstLineChars="200"/>
        <w:rPr>
          <w:rFonts w:ascii="黑体" w:hAnsi="黑体" w:eastAsia="黑体" w:cs="黑体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1.服务期：本项目服务期限自合同签订或约定之日起1年（或12个月）。</w:t>
      </w:r>
    </w:p>
    <w:p w14:paraId="32A08595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2.服务地点：深圳市福田区风湿病专科医院（</w:t>
      </w:r>
      <w:r>
        <w:rPr>
          <w:rFonts w:hint="eastAsia" w:ascii="仿宋_GB2312" w:eastAsia="仿宋_GB2312"/>
          <w:bCs/>
          <w:color w:val="auto"/>
          <w:sz w:val="28"/>
          <w:szCs w:val="28"/>
          <w:lang w:eastAsia="zh-CN"/>
        </w:rPr>
        <w:t>福民院区</w:t>
      </w:r>
      <w:r>
        <w:rPr>
          <w:rFonts w:hint="eastAsia" w:ascii="仿宋_GB2312" w:eastAsia="仿宋_GB2312"/>
          <w:bCs/>
          <w:color w:val="auto"/>
          <w:sz w:val="28"/>
          <w:szCs w:val="28"/>
        </w:rPr>
        <w:t>）</w:t>
      </w:r>
    </w:p>
    <w:p w14:paraId="77BCCEB3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3.报价要求：不超过预算金额</w:t>
      </w:r>
      <w:r>
        <w:rPr>
          <w:rFonts w:hint="eastAsia" w:ascii="仿宋_GB2312" w:eastAsia="仿宋_GB2312"/>
          <w:bCs/>
          <w:color w:val="auto"/>
          <w:sz w:val="28"/>
          <w:szCs w:val="28"/>
          <w:lang w:val="en-US" w:eastAsia="zh-CN"/>
        </w:rPr>
        <w:t>7.4</w:t>
      </w:r>
      <w:r>
        <w:rPr>
          <w:rFonts w:hint="eastAsia" w:ascii="仿宋_GB2312" w:eastAsia="仿宋_GB2312"/>
          <w:bCs/>
          <w:color w:val="auto"/>
          <w:sz w:val="28"/>
          <w:szCs w:val="28"/>
        </w:rPr>
        <w:t>万元。</w:t>
      </w:r>
    </w:p>
    <w:p w14:paraId="4E52D195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4.付款方式：签订合同后，中标方提供合格发票后的10个工作日内，采购方支付合同总价的70%，验收合格并经采购人确认后，且中标方提供合格发票后的10个工作日内，采购方支付合同总价的30%。</w:t>
      </w:r>
    </w:p>
    <w:p w14:paraId="3DBAC02A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5.验收方式：自行组织验收，服务方按合同约定提供相关服务，采购方验收通过后方可。</w:t>
      </w:r>
    </w:p>
    <w:p w14:paraId="3926B626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6.违约责任：</w:t>
      </w:r>
    </w:p>
    <w:p w14:paraId="65BE1890">
      <w:pPr>
        <w:adjustRightInd w:val="0"/>
        <w:snapToGrid w:val="0"/>
        <w:spacing w:line="500" w:lineRule="exact"/>
        <w:ind w:firstLine="560" w:firstLineChars="200"/>
        <w:rPr>
          <w:rFonts w:hint="eastAsia"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（1）本项目合同履行期间，发生下述情形时，服务方应按采购方要求限期整改：</w:t>
      </w:r>
    </w:p>
    <w:p w14:paraId="7EFBD4C1">
      <w:pPr>
        <w:adjustRightInd w:val="0"/>
        <w:snapToGrid w:val="0"/>
        <w:spacing w:line="500" w:lineRule="exact"/>
        <w:ind w:firstLine="560" w:firstLineChars="200"/>
        <w:rPr>
          <w:rFonts w:hint="eastAsia"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①服务方未按照采购方要求按期提交工作成果或报告的，应在10个工作日内整改完毕；</w:t>
      </w:r>
    </w:p>
    <w:p w14:paraId="1E1DF351">
      <w:pPr>
        <w:adjustRightInd w:val="0"/>
        <w:snapToGrid w:val="0"/>
        <w:spacing w:line="500" w:lineRule="exact"/>
        <w:ind w:firstLine="560" w:firstLineChars="200"/>
        <w:rPr>
          <w:rFonts w:hint="eastAsia"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②服务方的服务质量未达到采购方要求的，由采购方提出整改意见，服务方根据整改意见完成整改直至通过；</w:t>
      </w:r>
    </w:p>
    <w:p w14:paraId="323474F8">
      <w:pPr>
        <w:adjustRightInd w:val="0"/>
        <w:snapToGrid w:val="0"/>
        <w:spacing w:line="500" w:lineRule="exact"/>
        <w:ind w:firstLine="560" w:firstLineChars="200"/>
        <w:rPr>
          <w:rFonts w:hint="eastAsia"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（2）本项目合同履行期间，因服务方对于合同范围内的服务工作执行不力，发生下述情形时，在项目结算时扣除相应违约金，违约金标准由采购方据实确定：</w:t>
      </w:r>
    </w:p>
    <w:p w14:paraId="21782730">
      <w:pPr>
        <w:adjustRightInd w:val="0"/>
        <w:snapToGrid w:val="0"/>
        <w:spacing w:line="500" w:lineRule="exact"/>
        <w:ind w:firstLine="560" w:firstLineChars="200"/>
        <w:rPr>
          <w:rFonts w:hint="eastAsia"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①服务过程中发生网络事件，造成采购方被上级主管单位通报批评，且责任认定为服务方责任的；</w:t>
      </w:r>
    </w:p>
    <w:p w14:paraId="6695A820">
      <w:pPr>
        <w:adjustRightInd w:val="0"/>
        <w:snapToGrid w:val="0"/>
        <w:spacing w:line="500" w:lineRule="exact"/>
        <w:ind w:firstLine="560" w:firstLineChars="200"/>
        <w:rPr>
          <w:rFonts w:hint="eastAsia"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②因服务方原因造成采购方财产损失的。</w:t>
      </w:r>
    </w:p>
    <w:p w14:paraId="297BE47A">
      <w:pPr>
        <w:adjustRightInd w:val="0"/>
        <w:snapToGrid w:val="0"/>
        <w:spacing w:line="500" w:lineRule="exact"/>
        <w:ind w:firstLine="560" w:firstLineChars="200"/>
        <w:rPr>
          <w:rFonts w:hint="eastAsia"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（3）采购方未按照本项目合同约定支付费用，也未在服务方催告的合理期限内予以支付的，采购方应向服务方支付合同金额20%的违约金，但因财政审批流程等因素造成情形除外。</w:t>
      </w:r>
    </w:p>
    <w:p w14:paraId="660E247E">
      <w:pPr>
        <w:adjustRightInd w:val="0"/>
        <w:snapToGrid w:val="0"/>
        <w:spacing w:line="500" w:lineRule="exact"/>
        <w:ind w:firstLine="560" w:firstLineChars="200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28"/>
          <w:szCs w:val="28"/>
        </w:rPr>
        <w:t>四、供应商响应文件组成及格式</w:t>
      </w:r>
    </w:p>
    <w:p w14:paraId="7DC20FA5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供应商应提供以下文件，并加盖公章：</w:t>
      </w:r>
    </w:p>
    <w:p w14:paraId="34654655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1.营业执照扫描件（或事业单位法人证书、</w:t>
      </w:r>
      <w:r>
        <w:rPr>
          <w:rFonts w:hint="eastAsia" w:ascii="仿宋_GB2312" w:eastAsia="仿宋_GB2312"/>
          <w:bCs/>
          <w:color w:val="auto"/>
          <w:sz w:val="28"/>
          <w:szCs w:val="28"/>
          <w:lang w:eastAsia="zh-CN"/>
        </w:rPr>
        <w:t>其他</w:t>
      </w:r>
      <w:r>
        <w:rPr>
          <w:rFonts w:hint="eastAsia" w:ascii="仿宋_GB2312" w:eastAsia="仿宋_GB2312"/>
          <w:bCs/>
          <w:color w:val="auto"/>
          <w:sz w:val="28"/>
          <w:szCs w:val="28"/>
        </w:rPr>
        <w:t>具有独立承担民事责任能力的登记证明资料扫描件）</w:t>
      </w:r>
    </w:p>
    <w:p w14:paraId="22D28606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2.法人证明及响应文件签署授权委托书</w:t>
      </w:r>
    </w:p>
    <w:p w14:paraId="23D01622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3.供应商基本情况表</w:t>
      </w:r>
    </w:p>
    <w:p w14:paraId="32865238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4.法定代表人、投标授权代表人、项目负责人（如有）最近一个月的社保缴纳证明，以及企业股权关系证明</w:t>
      </w:r>
    </w:p>
    <w:p w14:paraId="6AC4FB2A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5.承诺函</w:t>
      </w:r>
    </w:p>
    <w:p w14:paraId="6D92B202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6.项目详细报价</w:t>
      </w:r>
    </w:p>
    <w:p w14:paraId="35F543A7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7.服务要求响应表</w:t>
      </w:r>
    </w:p>
    <w:p w14:paraId="06B06D45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8.项目实施方案</w:t>
      </w:r>
    </w:p>
    <w:p w14:paraId="1BA008BD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9.项目重点难点分析、应对措施及相关的合理化建议</w:t>
      </w:r>
    </w:p>
    <w:p w14:paraId="21A33800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10.质量保障措施及方案</w:t>
      </w:r>
    </w:p>
    <w:p w14:paraId="7D47E29B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11.项目完成（服务期满）后的服务承诺</w:t>
      </w:r>
    </w:p>
    <w:p w14:paraId="31CC1079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12.有效业绩</w:t>
      </w:r>
    </w:p>
    <w:p w14:paraId="4D4053FB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13.履约评价</w:t>
      </w:r>
    </w:p>
    <w:p w14:paraId="242C0FE0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14.认证情况</w:t>
      </w:r>
    </w:p>
    <w:p w14:paraId="37594D5D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15.拟安排的项目服务团队成员情况</w:t>
      </w:r>
    </w:p>
    <w:p w14:paraId="24068C4A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/>
          <w:bCs/>
          <w:color w:val="auto"/>
          <w:sz w:val="28"/>
          <w:szCs w:val="28"/>
        </w:rPr>
        <w:t>16.中小企业声明函、残疾人福利性单位声明函或监狱企业声明函</w:t>
      </w:r>
    </w:p>
    <w:bookmarkEnd w:id="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E55DA0"/>
    <w:rsid w:val="00256592"/>
    <w:rsid w:val="003A1D1A"/>
    <w:rsid w:val="00693C81"/>
    <w:rsid w:val="00765560"/>
    <w:rsid w:val="008A4A42"/>
    <w:rsid w:val="009C660B"/>
    <w:rsid w:val="00C4421F"/>
    <w:rsid w:val="232B76C3"/>
    <w:rsid w:val="34E6495A"/>
    <w:rsid w:val="37732570"/>
    <w:rsid w:val="3E305075"/>
    <w:rsid w:val="41980AAB"/>
    <w:rsid w:val="49D37898"/>
    <w:rsid w:val="68E55DA0"/>
    <w:rsid w:val="6B4940FC"/>
    <w:rsid w:val="7C12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annotation text"/>
    <w:basedOn w:val="1"/>
    <w:next w:val="4"/>
    <w:link w:val="14"/>
    <w:qFormat/>
    <w:uiPriority w:val="0"/>
    <w:pPr>
      <w:autoSpaceDE w:val="0"/>
      <w:autoSpaceDN w:val="0"/>
      <w:adjustRightInd w:val="0"/>
      <w:jc w:val="left"/>
      <w:textAlignment w:val="baseline"/>
    </w:pPr>
    <w:rPr>
      <w:rFonts w:ascii="宋体" w:hAnsi="Times New Roman"/>
      <w:kern w:val="0"/>
      <w:sz w:val="34"/>
      <w:szCs w:val="20"/>
    </w:rPr>
  </w:style>
  <w:style w:type="paragraph" w:styleId="4">
    <w:name w:val="toc 5"/>
    <w:basedOn w:val="1"/>
    <w:next w:val="1"/>
    <w:autoRedefine/>
    <w:unhideWhenUsed/>
    <w:qFormat/>
    <w:uiPriority w:val="39"/>
    <w:pPr>
      <w:jc w:val="left"/>
    </w:pPr>
    <w:rPr>
      <w:rFonts w:ascii="Times New Roman" w:hAnsi="Times New Roman"/>
    </w:rPr>
  </w:style>
  <w:style w:type="paragraph" w:styleId="5">
    <w:name w:val="Body Text"/>
    <w:basedOn w:val="1"/>
    <w:next w:val="6"/>
    <w:link w:val="13"/>
    <w:qFormat/>
    <w:uiPriority w:val="0"/>
    <w:pPr>
      <w:spacing w:line="360" w:lineRule="auto"/>
    </w:pPr>
    <w:rPr>
      <w:rFonts w:ascii="Times New Roman" w:hAnsi="Times New Roman"/>
      <w:b/>
      <w:bCs/>
      <w:sz w:val="24"/>
    </w:rPr>
  </w:style>
  <w:style w:type="paragraph" w:styleId="6">
    <w:name w:val="Body Text 2"/>
    <w:basedOn w:val="1"/>
    <w:link w:val="17"/>
    <w:qFormat/>
    <w:uiPriority w:val="0"/>
    <w:pPr>
      <w:spacing w:after="120" w:line="480" w:lineRule="auto"/>
    </w:pPr>
  </w:style>
  <w:style w:type="paragraph" w:styleId="7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页眉 Char"/>
    <w:basedOn w:val="10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脚 Char"/>
    <w:basedOn w:val="10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正文文本 Char"/>
    <w:basedOn w:val="10"/>
    <w:link w:val="5"/>
    <w:qFormat/>
    <w:uiPriority w:val="0"/>
    <w:rPr>
      <w:rFonts w:ascii="Times New Roman" w:hAnsi="Times New Roman" w:eastAsia="宋体" w:cs="Times New Roman"/>
      <w:b/>
      <w:bCs/>
      <w:kern w:val="2"/>
      <w:sz w:val="24"/>
      <w:szCs w:val="24"/>
    </w:rPr>
  </w:style>
  <w:style w:type="character" w:customStyle="1" w:styleId="14">
    <w:name w:val="批注文字 Char"/>
    <w:basedOn w:val="10"/>
    <w:link w:val="3"/>
    <w:qFormat/>
    <w:uiPriority w:val="0"/>
    <w:rPr>
      <w:rFonts w:ascii="宋体" w:hAnsi="Times New Roman" w:eastAsia="宋体" w:cs="Times New Roman"/>
      <w:sz w:val="34"/>
    </w:rPr>
  </w:style>
  <w:style w:type="character" w:customStyle="1" w:styleId="15">
    <w:name w:val="font21"/>
    <w:basedOn w:val="10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6">
    <w:name w:val="font3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正文文本 2 Char"/>
    <w:basedOn w:val="10"/>
    <w:link w:val="6"/>
    <w:qFormat/>
    <w:uiPriority w:val="0"/>
    <w:rPr>
      <w:rFonts w:ascii="Calibri" w:hAnsi="Calibri" w:eastAsia="宋体" w:cs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3b3978e9-f564-40f4-921c-1a2051fd35b6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DE24B33</paraID>
      <start>27</start>
      <end>28</end>
      <status>modified</status>
      <modifiedWord>（</modifiedWord>
      <trackRevisions>false</trackRevisions>
    </reviewItem>
    <reviewItem>
      <errorID>455892dc-5382-4c05-8533-ad21b6190bf6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DE24B33</paraID>
      <start>38</start>
      <end>39</end>
      <status>modified</status>
      <modifiedWord>）</modifiedWord>
      <trackRevisions>false</trackRevisions>
    </reviewItem>
    <reviewItem>
      <errorID>306cf086-981b-4769-abaf-e40656a27b1f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34654655</paraID>
      <start>20</start>
      <end>22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461fa76-edd5-44fc-9f79-85a29cdbf7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中国微软</Company>
  <Pages>3</Pages>
  <Words>1497</Words>
  <Characters>1578</Characters>
  <Lines>34</Lines>
  <Paragraphs>9</Paragraphs>
  <TotalTime>1</TotalTime>
  <ScaleCrop>false</ScaleCrop>
  <LinksUpToDate>false</LinksUpToDate>
  <CharactersWithSpaces>1588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2026-10-10T02:09:00Z</dcterms:created>
  <dc:creator>赖</dc:creator>
  <cp:lastModifiedBy>赖</cp:lastModifiedBy>
  <dcterms:modified xsi:type="dcterms:W3CDTF">2026-10-19T02:14:25Z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C2ADBFEBCAFE4388A9A3484B3D0A443C_13</vt:lpwstr>
  </property>
  <property fmtid="{D5CDD505-2E9C-101B-9397-08002B2CF9AE}" pid="4" name="KSOTemplateDocerSaveRecord">
    <vt:lpwstr>eyJoZGlkIjoiYTZjNWJjMmQyNGY0ODU0MTBiZTUzZjhmYTU4Nzc2NTEiLCJ1c2VySWQiOiIzOTMyMzMzNTUifQ==</vt:lpwstr>
  </property>
</Properties>
</file>