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21D6C5">
      <w:pPr>
        <w:spacing w:line="360" w:lineRule="auto"/>
        <w:jc w:val="center"/>
        <w:rPr>
          <w:rFonts w:hint="eastAsia" w:ascii="宋体" w:hAnsi="宋体" w:eastAsia="宋体" w:cs="宋体"/>
          <w:b/>
          <w:bCs/>
          <w:szCs w:val="21"/>
          <w:lang w:eastAsia="zh-CN"/>
        </w:rPr>
      </w:pPr>
      <w:r>
        <w:rPr>
          <w:rFonts w:hint="eastAsia" w:ascii="宋体" w:hAnsi="宋体" w:cs="宋体"/>
          <w:b/>
          <w:bCs/>
          <w:szCs w:val="21"/>
        </w:rPr>
        <w:t>深圳市福田区风湿病专科医院污水处理站运维服务项</w:t>
      </w:r>
      <w:r>
        <w:rPr>
          <w:rFonts w:hint="eastAsia" w:ascii="宋体" w:hAnsi="宋体" w:eastAsia="宋体" w:cs="宋体"/>
          <w:b/>
          <w:bCs/>
          <w:szCs w:val="21"/>
        </w:rPr>
        <w:t>目</w:t>
      </w:r>
      <w:r>
        <w:rPr>
          <w:rFonts w:hint="eastAsia" w:ascii="宋体" w:hAnsi="宋体" w:eastAsia="宋体" w:cs="宋体"/>
          <w:b/>
          <w:bCs/>
          <w:szCs w:val="21"/>
          <w:lang w:eastAsia="zh-CN"/>
        </w:rPr>
        <w:t>公开征集</w:t>
      </w:r>
      <w:r>
        <w:rPr>
          <w:rFonts w:hint="eastAsia" w:ascii="宋体" w:hAnsi="宋体" w:eastAsia="宋体" w:cs="宋体"/>
          <w:b/>
          <w:bCs/>
          <w:szCs w:val="21"/>
          <w:lang w:val="en-US" w:eastAsia="zh-CN"/>
        </w:rPr>
        <w:t>采购</w:t>
      </w:r>
      <w:r>
        <w:rPr>
          <w:rFonts w:hint="eastAsia" w:ascii="宋体" w:hAnsi="宋体" w:eastAsia="宋体" w:cs="宋体"/>
          <w:b/>
          <w:bCs/>
          <w:szCs w:val="21"/>
          <w:lang w:val="en-US" w:eastAsia="zh-CN"/>
        </w:rPr>
        <w:t>文件</w:t>
      </w:r>
    </w:p>
    <w:p w14:paraId="678C0313">
      <w:pPr>
        <w:numPr>
          <w:ilvl w:val="0"/>
          <w:numId w:val="1"/>
        </w:numPr>
        <w:spacing w:line="360" w:lineRule="auto"/>
        <w:ind w:firstLine="422" w:firstLineChars="200"/>
        <w:rPr>
          <w:rFonts w:ascii="宋体" w:hAnsi="宋体" w:cs="宋体"/>
          <w:szCs w:val="21"/>
        </w:rPr>
      </w:pPr>
      <w:r>
        <w:rPr>
          <w:rFonts w:hint="eastAsia" w:ascii="宋体" w:hAnsi="宋体" w:cs="宋体"/>
          <w:b/>
          <w:bCs/>
          <w:szCs w:val="21"/>
        </w:rPr>
        <w:t>项目名称：</w:t>
      </w:r>
      <w:r>
        <w:rPr>
          <w:rFonts w:hint="eastAsia" w:ascii="宋体" w:hAnsi="宋体" w:cs="宋体"/>
          <w:szCs w:val="21"/>
        </w:rPr>
        <w:t xml:space="preserve"> </w:t>
      </w:r>
    </w:p>
    <w:p w14:paraId="015EDB47">
      <w:pPr>
        <w:spacing w:line="360" w:lineRule="auto"/>
        <w:ind w:firstLine="420" w:firstLineChars="200"/>
        <w:rPr>
          <w:rFonts w:ascii="宋体" w:hAnsi="宋体" w:cs="宋体"/>
          <w:szCs w:val="21"/>
        </w:rPr>
      </w:pPr>
      <w:r>
        <w:rPr>
          <w:rFonts w:hint="eastAsia" w:ascii="宋体" w:hAnsi="宋体" w:cs="宋体"/>
          <w:szCs w:val="21"/>
        </w:rPr>
        <w:t>深圳市福田区风湿病专科医院污水处理站运维服务</w:t>
      </w:r>
    </w:p>
    <w:p w14:paraId="2F0EF16F">
      <w:pPr>
        <w:numPr>
          <w:ilvl w:val="0"/>
          <w:numId w:val="2"/>
        </w:numPr>
        <w:spacing w:line="360" w:lineRule="auto"/>
        <w:ind w:firstLine="422" w:firstLineChars="200"/>
        <w:rPr>
          <w:rFonts w:ascii="宋体" w:hAnsi="宋体" w:cs="宋体"/>
          <w:b/>
          <w:bCs/>
          <w:szCs w:val="21"/>
        </w:rPr>
      </w:pPr>
      <w:r>
        <w:rPr>
          <w:rFonts w:hint="eastAsia" w:ascii="宋体" w:hAnsi="宋体" w:cs="宋体"/>
          <w:b/>
          <w:bCs/>
          <w:szCs w:val="21"/>
        </w:rPr>
        <w:t>服务期限：</w:t>
      </w:r>
    </w:p>
    <w:p w14:paraId="6B510378">
      <w:pPr>
        <w:spacing w:line="360" w:lineRule="auto"/>
        <w:ind w:firstLine="420" w:firstLineChars="200"/>
        <w:rPr>
          <w:rFonts w:ascii="宋体" w:hAnsi="宋体" w:cs="宋体"/>
          <w:kern w:val="0"/>
          <w:szCs w:val="21"/>
          <w:lang w:bidi="ar"/>
        </w:rPr>
      </w:pPr>
      <w:r>
        <w:rPr>
          <w:rFonts w:hint="eastAsia" w:ascii="宋体" w:hAnsi="宋体" w:cs="宋体"/>
          <w:szCs w:val="21"/>
        </w:rPr>
        <w:t>本项目服务期限为自合同签订之日起一年，本合同期满后，采购人可根据项目需要、中标人合同履约情况及相关政策、法律规定决定合同期限是否延长。若需续签，双方可按相关规定办理合同续签手续，每次续签合同期限最长1年，总服务期最长不超过3年或36个月</w:t>
      </w:r>
      <w:r>
        <w:rPr>
          <w:rFonts w:hint="eastAsia" w:ascii="宋体" w:hAnsi="宋体" w:cs="宋体"/>
          <w:kern w:val="0"/>
          <w:szCs w:val="21"/>
          <w:lang w:bidi="ar"/>
        </w:rPr>
        <w:t>。</w:t>
      </w:r>
    </w:p>
    <w:p w14:paraId="1DFEF743">
      <w:pPr>
        <w:numPr>
          <w:ilvl w:val="0"/>
          <w:numId w:val="2"/>
        </w:numPr>
        <w:spacing w:line="360" w:lineRule="auto"/>
        <w:ind w:firstLine="422" w:firstLineChars="200"/>
        <w:rPr>
          <w:rFonts w:ascii="宋体" w:hAnsi="宋体" w:cs="宋体"/>
          <w:b/>
          <w:bCs/>
          <w:szCs w:val="21"/>
        </w:rPr>
      </w:pPr>
      <w:r>
        <w:rPr>
          <w:rFonts w:hint="eastAsia" w:ascii="宋体" w:hAnsi="宋体" w:cs="宋体"/>
          <w:b/>
          <w:bCs/>
          <w:szCs w:val="21"/>
        </w:rPr>
        <w:t>项目背景/项目概况：</w:t>
      </w:r>
    </w:p>
    <w:p w14:paraId="59608D58">
      <w:pPr>
        <w:numPr>
          <w:ilvl w:val="0"/>
          <w:numId w:val="3"/>
        </w:numPr>
        <w:spacing w:line="360" w:lineRule="auto"/>
        <w:ind w:firstLine="420" w:firstLineChars="200"/>
        <w:rPr>
          <w:rFonts w:ascii="宋体" w:hAnsi="宋体" w:cs="宋体"/>
          <w:szCs w:val="21"/>
          <w:shd w:val="clear" w:color="auto" w:fill="FFFFFF"/>
        </w:rPr>
      </w:pPr>
      <w:r>
        <w:rPr>
          <w:rFonts w:hint="eastAsia" w:ascii="宋体" w:hAnsi="宋体" w:cs="宋体"/>
          <w:szCs w:val="21"/>
          <w:shd w:val="clear" w:color="auto" w:fill="FFFFFF"/>
        </w:rPr>
        <w:t>为保障污水处理站稳定运行及管理规范，本院现公开招标专业第三方运维公司，负责污水站日常运营。中标人必须确保处理后出水100%达到《医疗机构水污染物排放标准》（GB 18466-2005</w:t>
      </w:r>
      <w:r>
        <w:rPr>
          <w:rFonts w:hint="eastAsia" w:ascii="宋体" w:hAnsi="宋体" w:cs="宋体"/>
          <w:szCs w:val="21"/>
          <w:shd w:val="clear" w:color="auto" w:fill="FFFFFF"/>
          <w:lang w:eastAsia="zh-CN"/>
        </w:rPr>
        <w:t>）</w:t>
      </w:r>
      <w:r>
        <w:rPr>
          <w:rFonts w:hint="eastAsia" w:ascii="宋体" w:hAnsi="宋体" w:cs="宋体"/>
          <w:szCs w:val="21"/>
          <w:shd w:val="clear" w:color="auto" w:fill="FFFFFF"/>
        </w:rPr>
        <w:t xml:space="preserve"> 的预处理限值要求，并保证污水设施持续稳定运行。若后续主管部门发布新标准或要求，中标人须无条件适用并满足所有最新规定‌。</w:t>
      </w:r>
    </w:p>
    <w:p w14:paraId="681B5829">
      <w:pPr>
        <w:numPr>
          <w:ilvl w:val="0"/>
          <w:numId w:val="3"/>
        </w:numPr>
        <w:spacing w:line="360" w:lineRule="auto"/>
        <w:ind w:firstLine="420" w:firstLineChars="200"/>
        <w:rPr>
          <w:rFonts w:ascii="宋体" w:hAnsi="宋体" w:cs="宋体"/>
          <w:szCs w:val="21"/>
        </w:rPr>
      </w:pPr>
      <w:r>
        <w:rPr>
          <w:rFonts w:hint="eastAsia" w:ascii="宋体" w:hAnsi="宋体" w:cs="宋体"/>
          <w:szCs w:val="21"/>
        </w:rPr>
        <w:t>服务范围：我院现有物业为</w:t>
      </w:r>
      <w:r>
        <w:rPr>
          <w:rFonts w:hint="eastAsia" w:ascii="宋体" w:hAnsi="宋体" w:cs="宋体"/>
          <w:kern w:val="0"/>
          <w:szCs w:val="21"/>
        </w:rPr>
        <w:t>农林院区</w:t>
      </w:r>
      <w:r>
        <w:rPr>
          <w:rFonts w:hint="eastAsia" w:ascii="宋体" w:hAnsi="宋体" w:cs="宋体"/>
          <w:szCs w:val="21"/>
        </w:rPr>
        <w:t>、福民院区，</w:t>
      </w:r>
      <w:r>
        <w:rPr>
          <w:rFonts w:hint="eastAsia" w:ascii="宋体" w:hAnsi="宋体" w:cs="宋体"/>
          <w:kern w:val="0"/>
          <w:szCs w:val="21"/>
        </w:rPr>
        <w:t>农林院区位</w:t>
      </w:r>
      <w:r>
        <w:rPr>
          <w:rFonts w:hint="eastAsia" w:ascii="宋体" w:hAnsi="宋体" w:cs="宋体"/>
          <w:szCs w:val="21"/>
        </w:rPr>
        <w:t>于福田区香蜜湖街道农林路22号，福民院区位于福田区福田街道金田路2002号。</w:t>
      </w:r>
    </w:p>
    <w:tbl>
      <w:tblPr>
        <w:tblStyle w:val="18"/>
        <w:tblW w:w="4873" w:type="pct"/>
        <w:jc w:val="center"/>
        <w:tblLayout w:type="fixed"/>
        <w:tblCellMar>
          <w:top w:w="0" w:type="dxa"/>
          <w:left w:w="108" w:type="dxa"/>
          <w:bottom w:w="0" w:type="dxa"/>
          <w:right w:w="108" w:type="dxa"/>
        </w:tblCellMar>
      </w:tblPr>
      <w:tblGrid>
        <w:gridCol w:w="1114"/>
        <w:gridCol w:w="2916"/>
        <w:gridCol w:w="4065"/>
      </w:tblGrid>
      <w:tr w14:paraId="31C022C2">
        <w:tblPrEx>
          <w:tblCellMar>
            <w:top w:w="0" w:type="dxa"/>
            <w:left w:w="108" w:type="dxa"/>
            <w:bottom w:w="0" w:type="dxa"/>
            <w:right w:w="108" w:type="dxa"/>
          </w:tblCellMar>
        </w:tblPrEx>
        <w:trPr>
          <w:trHeight w:val="585" w:hRule="atLeast"/>
          <w:jc w:val="center"/>
        </w:trPr>
        <w:tc>
          <w:tcPr>
            <w:tcW w:w="688" w:type="pct"/>
            <w:tcBorders>
              <w:top w:val="single" w:color="auto" w:sz="4" w:space="0"/>
              <w:left w:val="single" w:color="000000" w:sz="4" w:space="0"/>
              <w:bottom w:val="single" w:color="000000" w:sz="4" w:space="0"/>
              <w:right w:val="single" w:color="000000" w:sz="4" w:space="0"/>
            </w:tcBorders>
            <w:shd w:val="clear" w:color="auto" w:fill="auto"/>
            <w:noWrap/>
            <w:vAlign w:val="center"/>
          </w:tcPr>
          <w:p w14:paraId="7C120C03">
            <w:pPr>
              <w:widowControl/>
              <w:jc w:val="center"/>
              <w:rPr>
                <w:rFonts w:ascii="宋体" w:hAnsi="宋体" w:cs="宋体"/>
                <w:b/>
                <w:bCs/>
                <w:color w:val="000000"/>
                <w:kern w:val="0"/>
                <w:szCs w:val="21"/>
              </w:rPr>
            </w:pPr>
            <w:r>
              <w:rPr>
                <w:rFonts w:hint="eastAsia" w:ascii="宋体" w:hAnsi="宋体" w:cs="宋体"/>
                <w:b/>
                <w:bCs/>
                <w:color w:val="000000"/>
                <w:kern w:val="0"/>
                <w:szCs w:val="21"/>
              </w:rPr>
              <w:t>序号</w:t>
            </w:r>
          </w:p>
        </w:tc>
        <w:tc>
          <w:tcPr>
            <w:tcW w:w="1800" w:type="pct"/>
            <w:tcBorders>
              <w:top w:val="single" w:color="auto" w:sz="4" w:space="0"/>
              <w:left w:val="nil"/>
              <w:bottom w:val="single" w:color="000000" w:sz="4" w:space="0"/>
              <w:right w:val="single" w:color="000000" w:sz="4" w:space="0"/>
            </w:tcBorders>
            <w:shd w:val="clear" w:color="auto" w:fill="auto"/>
            <w:noWrap/>
            <w:vAlign w:val="center"/>
          </w:tcPr>
          <w:p w14:paraId="5B63B73D">
            <w:pPr>
              <w:widowControl/>
              <w:jc w:val="center"/>
              <w:rPr>
                <w:rFonts w:ascii="宋体" w:hAnsi="宋体" w:cs="宋体"/>
                <w:b/>
                <w:bCs/>
                <w:color w:val="000000"/>
                <w:kern w:val="0"/>
                <w:szCs w:val="21"/>
              </w:rPr>
            </w:pPr>
            <w:r>
              <w:rPr>
                <w:rFonts w:hint="eastAsia" w:ascii="宋体" w:hAnsi="宋体" w:cs="宋体"/>
                <w:b/>
                <w:bCs/>
                <w:color w:val="000000"/>
                <w:kern w:val="0"/>
                <w:szCs w:val="21"/>
              </w:rPr>
              <w:t>位置</w:t>
            </w:r>
          </w:p>
        </w:tc>
        <w:tc>
          <w:tcPr>
            <w:tcW w:w="2510" w:type="pct"/>
            <w:tcBorders>
              <w:top w:val="single" w:color="auto" w:sz="4" w:space="0"/>
              <w:left w:val="nil"/>
              <w:bottom w:val="single" w:color="000000" w:sz="4" w:space="0"/>
              <w:right w:val="single" w:color="000000" w:sz="4" w:space="0"/>
            </w:tcBorders>
            <w:shd w:val="clear" w:color="auto" w:fill="auto"/>
            <w:noWrap/>
            <w:vAlign w:val="center"/>
          </w:tcPr>
          <w:p w14:paraId="20ECA69A">
            <w:pPr>
              <w:widowControl/>
              <w:jc w:val="center"/>
              <w:rPr>
                <w:rFonts w:ascii="宋体" w:hAnsi="宋体" w:cs="宋体"/>
                <w:b/>
                <w:bCs/>
                <w:color w:val="000000"/>
                <w:kern w:val="0"/>
                <w:szCs w:val="21"/>
              </w:rPr>
            </w:pPr>
            <w:r>
              <w:rPr>
                <w:rFonts w:hint="eastAsia" w:ascii="宋体" w:hAnsi="宋体" w:cs="宋体"/>
                <w:b/>
                <w:bCs/>
                <w:color w:val="000000"/>
                <w:kern w:val="0"/>
                <w:szCs w:val="21"/>
              </w:rPr>
              <w:t>污水处理工艺</w:t>
            </w:r>
          </w:p>
        </w:tc>
      </w:tr>
      <w:tr w14:paraId="4E735F14">
        <w:tblPrEx>
          <w:tblCellMar>
            <w:top w:w="0" w:type="dxa"/>
            <w:left w:w="108" w:type="dxa"/>
            <w:bottom w:w="0" w:type="dxa"/>
            <w:right w:w="108" w:type="dxa"/>
          </w:tblCellMar>
        </w:tblPrEx>
        <w:trPr>
          <w:trHeight w:val="495" w:hRule="atLeast"/>
          <w:jc w:val="center"/>
        </w:trPr>
        <w:tc>
          <w:tcPr>
            <w:tcW w:w="688" w:type="pct"/>
            <w:tcBorders>
              <w:top w:val="nil"/>
              <w:left w:val="single" w:color="000000" w:sz="4" w:space="0"/>
              <w:bottom w:val="single" w:color="000000" w:sz="4" w:space="0"/>
              <w:right w:val="single" w:color="000000" w:sz="4" w:space="0"/>
            </w:tcBorders>
            <w:shd w:val="clear" w:color="auto" w:fill="auto"/>
            <w:noWrap/>
            <w:vAlign w:val="center"/>
          </w:tcPr>
          <w:p w14:paraId="33024AE3">
            <w:pPr>
              <w:widowControl/>
              <w:jc w:val="center"/>
              <w:rPr>
                <w:rFonts w:ascii="宋体" w:hAnsi="宋体" w:cs="宋体"/>
                <w:color w:val="000000"/>
                <w:kern w:val="0"/>
                <w:szCs w:val="21"/>
              </w:rPr>
            </w:pPr>
            <w:r>
              <w:rPr>
                <w:rFonts w:hint="eastAsia" w:ascii="宋体" w:hAnsi="宋体" w:cs="宋体"/>
                <w:color w:val="000000"/>
                <w:kern w:val="0"/>
                <w:szCs w:val="21"/>
              </w:rPr>
              <w:t>1</w:t>
            </w:r>
          </w:p>
        </w:tc>
        <w:tc>
          <w:tcPr>
            <w:tcW w:w="1800" w:type="pct"/>
            <w:tcBorders>
              <w:top w:val="nil"/>
              <w:left w:val="nil"/>
              <w:bottom w:val="single" w:color="000000" w:sz="4" w:space="0"/>
              <w:right w:val="single" w:color="000000" w:sz="4" w:space="0"/>
            </w:tcBorders>
            <w:shd w:val="clear" w:color="auto" w:fill="auto"/>
            <w:noWrap/>
            <w:vAlign w:val="center"/>
          </w:tcPr>
          <w:p w14:paraId="79FFBB35">
            <w:pPr>
              <w:widowControl/>
              <w:jc w:val="center"/>
              <w:rPr>
                <w:rFonts w:ascii="宋体" w:hAnsi="宋体" w:cs="宋体"/>
                <w:kern w:val="0"/>
                <w:szCs w:val="21"/>
              </w:rPr>
            </w:pPr>
            <w:r>
              <w:rPr>
                <w:rFonts w:hint="eastAsia" w:ascii="宋体" w:hAnsi="宋体" w:cs="宋体"/>
                <w:kern w:val="0"/>
                <w:szCs w:val="21"/>
              </w:rPr>
              <w:t>农林院区</w:t>
            </w:r>
          </w:p>
        </w:tc>
        <w:tc>
          <w:tcPr>
            <w:tcW w:w="2510" w:type="pct"/>
            <w:tcBorders>
              <w:top w:val="nil"/>
              <w:left w:val="nil"/>
              <w:bottom w:val="single" w:color="000000" w:sz="4" w:space="0"/>
              <w:right w:val="single" w:color="000000" w:sz="4" w:space="0"/>
            </w:tcBorders>
            <w:shd w:val="clear" w:color="auto" w:fill="auto"/>
            <w:noWrap/>
            <w:vAlign w:val="center"/>
          </w:tcPr>
          <w:p w14:paraId="2619FFB4">
            <w:pPr>
              <w:widowControl/>
              <w:jc w:val="center"/>
              <w:rPr>
                <w:rFonts w:ascii="宋体" w:hAnsi="宋体" w:cs="宋体"/>
                <w:color w:val="000000"/>
                <w:kern w:val="0"/>
                <w:szCs w:val="21"/>
              </w:rPr>
            </w:pPr>
            <w:r>
              <w:rPr>
                <w:rFonts w:hint="eastAsia" w:ascii="宋体" w:hAnsi="宋体" w:cs="宋体"/>
                <w:color w:val="000000"/>
                <w:kern w:val="0"/>
                <w:szCs w:val="21"/>
              </w:rPr>
              <w:t>预消毒+厌氧+泥膜共生+动态生物膜分离+消毒</w:t>
            </w:r>
          </w:p>
        </w:tc>
      </w:tr>
      <w:tr w14:paraId="3CC1DB68">
        <w:tblPrEx>
          <w:tblCellMar>
            <w:top w:w="0" w:type="dxa"/>
            <w:left w:w="108" w:type="dxa"/>
            <w:bottom w:w="0" w:type="dxa"/>
            <w:right w:w="108" w:type="dxa"/>
          </w:tblCellMar>
        </w:tblPrEx>
        <w:trPr>
          <w:trHeight w:val="495" w:hRule="atLeast"/>
          <w:jc w:val="center"/>
        </w:trPr>
        <w:tc>
          <w:tcPr>
            <w:tcW w:w="688" w:type="pct"/>
            <w:tcBorders>
              <w:top w:val="nil"/>
              <w:left w:val="single" w:color="000000" w:sz="4" w:space="0"/>
              <w:bottom w:val="single" w:color="000000" w:sz="4" w:space="0"/>
              <w:right w:val="single" w:color="000000" w:sz="4" w:space="0"/>
            </w:tcBorders>
            <w:shd w:val="clear" w:color="auto" w:fill="auto"/>
            <w:noWrap/>
            <w:vAlign w:val="center"/>
          </w:tcPr>
          <w:p w14:paraId="3B134F11">
            <w:pPr>
              <w:widowControl/>
              <w:jc w:val="center"/>
              <w:rPr>
                <w:rFonts w:ascii="宋体" w:hAnsi="宋体" w:cs="宋体"/>
                <w:color w:val="000000"/>
                <w:kern w:val="0"/>
                <w:szCs w:val="21"/>
              </w:rPr>
            </w:pPr>
            <w:r>
              <w:rPr>
                <w:rFonts w:hint="eastAsia" w:ascii="宋体" w:hAnsi="宋体" w:cs="宋体"/>
                <w:color w:val="000000"/>
                <w:kern w:val="0"/>
                <w:szCs w:val="21"/>
              </w:rPr>
              <w:t>2</w:t>
            </w:r>
          </w:p>
        </w:tc>
        <w:tc>
          <w:tcPr>
            <w:tcW w:w="1800" w:type="pct"/>
            <w:tcBorders>
              <w:top w:val="nil"/>
              <w:left w:val="nil"/>
              <w:bottom w:val="single" w:color="000000" w:sz="4" w:space="0"/>
              <w:right w:val="single" w:color="000000" w:sz="4" w:space="0"/>
            </w:tcBorders>
            <w:shd w:val="clear" w:color="auto" w:fill="auto"/>
            <w:vAlign w:val="center"/>
          </w:tcPr>
          <w:p w14:paraId="6ECD1FFB">
            <w:pPr>
              <w:widowControl/>
              <w:jc w:val="center"/>
              <w:rPr>
                <w:rFonts w:ascii="宋体" w:hAnsi="宋体" w:cs="宋体"/>
                <w:kern w:val="0"/>
                <w:szCs w:val="21"/>
              </w:rPr>
            </w:pPr>
            <w:r>
              <w:rPr>
                <w:rFonts w:hint="eastAsia" w:ascii="宋体" w:hAnsi="宋体" w:cs="宋体"/>
                <w:szCs w:val="21"/>
              </w:rPr>
              <w:t>福民院区</w:t>
            </w:r>
          </w:p>
        </w:tc>
        <w:tc>
          <w:tcPr>
            <w:tcW w:w="2510" w:type="pct"/>
            <w:tcBorders>
              <w:top w:val="nil"/>
              <w:left w:val="nil"/>
              <w:bottom w:val="single" w:color="000000" w:sz="4" w:space="0"/>
              <w:right w:val="single" w:color="000000" w:sz="4" w:space="0"/>
            </w:tcBorders>
            <w:shd w:val="clear" w:color="auto" w:fill="auto"/>
            <w:noWrap/>
            <w:vAlign w:val="center"/>
          </w:tcPr>
          <w:p w14:paraId="0DE59CED">
            <w:pPr>
              <w:widowControl/>
              <w:jc w:val="center"/>
              <w:rPr>
                <w:rFonts w:ascii="宋体" w:hAnsi="宋体" w:cs="宋体"/>
                <w:color w:val="000000"/>
                <w:kern w:val="0"/>
                <w:szCs w:val="21"/>
              </w:rPr>
            </w:pPr>
            <w:r>
              <w:rPr>
                <w:rFonts w:hint="eastAsia" w:ascii="宋体" w:hAnsi="宋体" w:cs="宋体"/>
                <w:color w:val="000000"/>
                <w:kern w:val="0"/>
                <w:szCs w:val="21"/>
              </w:rPr>
              <w:t>接触氧化+沉淀+消毒</w:t>
            </w:r>
          </w:p>
        </w:tc>
      </w:tr>
    </w:tbl>
    <w:p w14:paraId="1B32E0D8">
      <w:pPr>
        <w:numPr>
          <w:ilvl w:val="0"/>
          <w:numId w:val="3"/>
        </w:numPr>
        <w:spacing w:line="360" w:lineRule="auto"/>
        <w:ind w:firstLine="420" w:firstLineChars="200"/>
        <w:rPr>
          <w:rFonts w:ascii="宋体" w:hAnsi="宋体" w:cs="宋体"/>
          <w:szCs w:val="21"/>
          <w:shd w:val="clear" w:color="auto" w:fill="FFFFFF"/>
        </w:rPr>
      </w:pPr>
      <w:r>
        <w:rPr>
          <w:rFonts w:hint="eastAsia" w:ascii="宋体" w:hAnsi="宋体" w:cs="宋体"/>
          <w:szCs w:val="21"/>
        </w:rPr>
        <w:t>污水处理站设备设施明细如下（文字描述不全的以医院现场实际情况为准）：</w:t>
      </w:r>
    </w:p>
    <w:tbl>
      <w:tblPr>
        <w:tblStyle w:val="18"/>
        <w:tblW w:w="4851" w:type="pct"/>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642"/>
        <w:gridCol w:w="2008"/>
        <w:gridCol w:w="3295"/>
        <w:gridCol w:w="994"/>
        <w:gridCol w:w="1110"/>
      </w:tblGrid>
      <w:tr w14:paraId="187ED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4" w:hRule="atLeast"/>
          <w:tblHeader/>
        </w:trPr>
        <w:tc>
          <w:tcPr>
            <w:tcW w:w="399" w:type="pct"/>
            <w:tcMar>
              <w:top w:w="120" w:type="dxa"/>
              <w:left w:w="120" w:type="dxa"/>
              <w:bottom w:w="120" w:type="dxa"/>
              <w:right w:w="120" w:type="dxa"/>
            </w:tcMar>
            <w:vAlign w:val="center"/>
          </w:tcPr>
          <w:p w14:paraId="09E874B8">
            <w:pPr>
              <w:widowControl/>
              <w:jc w:val="center"/>
              <w:rPr>
                <w:rFonts w:ascii="宋体" w:hAnsi="宋体" w:cs="宋体"/>
                <w:b/>
                <w:bCs/>
                <w:kern w:val="0"/>
                <w:szCs w:val="21"/>
                <w:highlight w:val="yellow"/>
              </w:rPr>
            </w:pPr>
            <w:r>
              <w:rPr>
                <w:rFonts w:hint="eastAsia" w:ascii="宋体" w:hAnsi="宋体" w:cs="宋体"/>
                <w:b/>
                <w:bCs/>
                <w:kern w:val="0"/>
                <w:szCs w:val="21"/>
                <w:highlight w:val="yellow"/>
              </w:rPr>
              <w:t>序号</w:t>
            </w:r>
          </w:p>
        </w:tc>
        <w:tc>
          <w:tcPr>
            <w:tcW w:w="1247" w:type="pct"/>
            <w:tcMar>
              <w:top w:w="120" w:type="dxa"/>
              <w:left w:w="120" w:type="dxa"/>
              <w:bottom w:w="120" w:type="dxa"/>
              <w:right w:w="120" w:type="dxa"/>
            </w:tcMar>
            <w:vAlign w:val="center"/>
          </w:tcPr>
          <w:p w14:paraId="35D27DCD">
            <w:pPr>
              <w:widowControl/>
              <w:jc w:val="center"/>
              <w:rPr>
                <w:rFonts w:ascii="宋体" w:hAnsi="宋体" w:cs="宋体"/>
                <w:b/>
                <w:bCs/>
                <w:kern w:val="0"/>
                <w:szCs w:val="21"/>
                <w:highlight w:val="yellow"/>
              </w:rPr>
            </w:pPr>
            <w:r>
              <w:rPr>
                <w:rFonts w:hint="eastAsia" w:ascii="宋体" w:hAnsi="宋体" w:cs="宋体"/>
                <w:b/>
                <w:bCs/>
                <w:kern w:val="0"/>
                <w:szCs w:val="21"/>
                <w:highlight w:val="yellow"/>
              </w:rPr>
              <w:t>名称</w:t>
            </w:r>
          </w:p>
        </w:tc>
        <w:tc>
          <w:tcPr>
            <w:tcW w:w="2046" w:type="pct"/>
            <w:tcMar>
              <w:top w:w="120" w:type="dxa"/>
              <w:left w:w="120" w:type="dxa"/>
              <w:bottom w:w="120" w:type="dxa"/>
              <w:right w:w="120" w:type="dxa"/>
            </w:tcMar>
            <w:vAlign w:val="center"/>
          </w:tcPr>
          <w:p w14:paraId="6730FBD6">
            <w:pPr>
              <w:widowControl/>
              <w:jc w:val="center"/>
              <w:rPr>
                <w:rFonts w:ascii="宋体" w:hAnsi="宋体" w:cs="宋体"/>
                <w:b/>
                <w:bCs/>
                <w:kern w:val="0"/>
                <w:szCs w:val="21"/>
                <w:highlight w:val="yellow"/>
              </w:rPr>
            </w:pPr>
            <w:r>
              <w:rPr>
                <w:rFonts w:hint="eastAsia" w:ascii="宋体" w:hAnsi="宋体" w:cs="宋体"/>
                <w:b/>
                <w:bCs/>
                <w:kern w:val="0"/>
                <w:szCs w:val="21"/>
                <w:highlight w:val="yellow"/>
              </w:rPr>
              <w:t>规格尺寸</w:t>
            </w:r>
          </w:p>
        </w:tc>
        <w:tc>
          <w:tcPr>
            <w:tcW w:w="617" w:type="pct"/>
            <w:tcMar>
              <w:top w:w="120" w:type="dxa"/>
              <w:left w:w="120" w:type="dxa"/>
              <w:bottom w:w="120" w:type="dxa"/>
              <w:right w:w="120" w:type="dxa"/>
            </w:tcMar>
            <w:vAlign w:val="center"/>
          </w:tcPr>
          <w:p w14:paraId="5D3A1CD4">
            <w:pPr>
              <w:widowControl/>
              <w:jc w:val="center"/>
              <w:rPr>
                <w:rFonts w:ascii="宋体" w:hAnsi="宋体" w:cs="宋体"/>
                <w:b/>
                <w:bCs/>
                <w:kern w:val="0"/>
                <w:szCs w:val="21"/>
                <w:highlight w:val="yellow"/>
              </w:rPr>
            </w:pPr>
            <w:r>
              <w:rPr>
                <w:rFonts w:hint="eastAsia" w:ascii="宋体" w:hAnsi="宋体" w:cs="宋体"/>
                <w:b/>
                <w:bCs/>
                <w:kern w:val="0"/>
                <w:szCs w:val="21"/>
                <w:highlight w:val="yellow"/>
              </w:rPr>
              <w:t>数量</w:t>
            </w:r>
          </w:p>
        </w:tc>
        <w:tc>
          <w:tcPr>
            <w:tcW w:w="689" w:type="pct"/>
            <w:tcMar>
              <w:top w:w="120" w:type="dxa"/>
              <w:left w:w="120" w:type="dxa"/>
              <w:bottom w:w="120" w:type="dxa"/>
              <w:right w:w="120" w:type="dxa"/>
            </w:tcMar>
            <w:vAlign w:val="center"/>
          </w:tcPr>
          <w:p w14:paraId="1970D3EC">
            <w:pPr>
              <w:widowControl/>
              <w:jc w:val="center"/>
              <w:rPr>
                <w:rFonts w:ascii="宋体" w:hAnsi="宋体" w:cs="宋体"/>
                <w:b/>
                <w:bCs/>
                <w:kern w:val="0"/>
                <w:szCs w:val="21"/>
                <w:highlight w:val="yellow"/>
              </w:rPr>
            </w:pPr>
            <w:r>
              <w:rPr>
                <w:rFonts w:hint="eastAsia" w:ascii="宋体" w:hAnsi="宋体" w:cs="宋体"/>
                <w:b/>
                <w:bCs/>
                <w:kern w:val="0"/>
                <w:szCs w:val="21"/>
                <w:highlight w:val="yellow"/>
              </w:rPr>
              <w:t>备注</w:t>
            </w:r>
          </w:p>
        </w:tc>
      </w:tr>
      <w:tr w14:paraId="52EE1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4" w:hRule="atLeast"/>
        </w:trPr>
        <w:tc>
          <w:tcPr>
            <w:tcW w:w="399" w:type="pct"/>
            <w:tcMar>
              <w:top w:w="120" w:type="dxa"/>
              <w:left w:w="120" w:type="dxa"/>
              <w:bottom w:w="120" w:type="dxa"/>
              <w:right w:w="120" w:type="dxa"/>
            </w:tcMar>
            <w:vAlign w:val="center"/>
          </w:tcPr>
          <w:p w14:paraId="1D2C66F8">
            <w:pPr>
              <w:widowControl/>
              <w:jc w:val="center"/>
              <w:rPr>
                <w:rFonts w:ascii="宋体" w:hAnsi="宋体" w:cs="宋体"/>
                <w:kern w:val="0"/>
                <w:szCs w:val="21"/>
              </w:rPr>
            </w:pPr>
            <w:r>
              <w:rPr>
                <w:rFonts w:hint="eastAsia" w:ascii="宋体" w:hAnsi="宋体" w:cs="宋体"/>
                <w:kern w:val="0"/>
                <w:szCs w:val="21"/>
              </w:rPr>
              <w:t>1</w:t>
            </w:r>
          </w:p>
        </w:tc>
        <w:tc>
          <w:tcPr>
            <w:tcW w:w="1247" w:type="pct"/>
            <w:tcMar>
              <w:top w:w="120" w:type="dxa"/>
              <w:left w:w="120" w:type="dxa"/>
              <w:bottom w:w="120" w:type="dxa"/>
              <w:right w:w="120" w:type="dxa"/>
            </w:tcMar>
            <w:vAlign w:val="center"/>
          </w:tcPr>
          <w:p w14:paraId="4B76F3BC">
            <w:pPr>
              <w:widowControl/>
              <w:jc w:val="center"/>
              <w:rPr>
                <w:rFonts w:ascii="宋体" w:hAnsi="宋体" w:cs="宋体"/>
                <w:kern w:val="0"/>
                <w:szCs w:val="21"/>
              </w:rPr>
            </w:pPr>
            <w:r>
              <w:rPr>
                <w:rFonts w:hint="eastAsia" w:ascii="宋体" w:hAnsi="宋体" w:cs="宋体"/>
                <w:kern w:val="0"/>
                <w:szCs w:val="21"/>
              </w:rPr>
              <w:t>潜污泵</w:t>
            </w:r>
          </w:p>
        </w:tc>
        <w:tc>
          <w:tcPr>
            <w:tcW w:w="2046" w:type="pct"/>
            <w:tcMar>
              <w:top w:w="120" w:type="dxa"/>
              <w:left w:w="120" w:type="dxa"/>
              <w:bottom w:w="120" w:type="dxa"/>
              <w:right w:w="120" w:type="dxa"/>
            </w:tcMar>
            <w:vAlign w:val="center"/>
          </w:tcPr>
          <w:p w14:paraId="2D71639E">
            <w:pPr>
              <w:widowControl/>
              <w:jc w:val="center"/>
              <w:rPr>
                <w:rFonts w:ascii="宋体" w:hAnsi="宋体" w:cs="宋体"/>
                <w:kern w:val="0"/>
                <w:szCs w:val="21"/>
              </w:rPr>
            </w:pPr>
            <w:r>
              <w:rPr>
                <w:rFonts w:hint="eastAsia" w:ascii="宋体" w:hAnsi="宋体" w:cs="宋体"/>
                <w:kern w:val="0"/>
                <w:szCs w:val="21"/>
              </w:rPr>
              <w:t>功率2.2kW扬程15m  流量25方电压380V</w:t>
            </w:r>
          </w:p>
        </w:tc>
        <w:tc>
          <w:tcPr>
            <w:tcW w:w="617" w:type="pct"/>
            <w:tcMar>
              <w:top w:w="120" w:type="dxa"/>
              <w:left w:w="120" w:type="dxa"/>
              <w:bottom w:w="120" w:type="dxa"/>
              <w:right w:w="120" w:type="dxa"/>
            </w:tcMar>
            <w:vAlign w:val="center"/>
          </w:tcPr>
          <w:p w14:paraId="72076296">
            <w:pPr>
              <w:widowControl/>
              <w:jc w:val="center"/>
              <w:rPr>
                <w:rFonts w:ascii="宋体" w:hAnsi="宋体" w:cs="宋体"/>
                <w:kern w:val="0"/>
                <w:szCs w:val="21"/>
              </w:rPr>
            </w:pPr>
            <w:r>
              <w:rPr>
                <w:rFonts w:hint="eastAsia" w:ascii="宋体" w:hAnsi="宋体" w:cs="宋体"/>
                <w:kern w:val="0"/>
                <w:szCs w:val="21"/>
              </w:rPr>
              <w:t>2台</w:t>
            </w:r>
          </w:p>
        </w:tc>
        <w:tc>
          <w:tcPr>
            <w:tcW w:w="689" w:type="pct"/>
            <w:tcMar>
              <w:top w:w="120" w:type="dxa"/>
              <w:left w:w="120" w:type="dxa"/>
              <w:bottom w:w="120" w:type="dxa"/>
              <w:right w:w="120" w:type="dxa"/>
            </w:tcMar>
            <w:vAlign w:val="center"/>
          </w:tcPr>
          <w:p w14:paraId="0329A51A">
            <w:pPr>
              <w:widowControl/>
              <w:jc w:val="left"/>
              <w:rPr>
                <w:rFonts w:ascii="宋体" w:hAnsi="宋体" w:cs="宋体"/>
                <w:kern w:val="0"/>
                <w:szCs w:val="21"/>
              </w:rPr>
            </w:pPr>
            <w:r>
              <w:rPr>
                <w:rFonts w:hint="eastAsia" w:ascii="宋体" w:hAnsi="宋体" w:cs="宋体"/>
                <w:kern w:val="0"/>
                <w:szCs w:val="21"/>
              </w:rPr>
              <w:t xml:space="preserve">  </w:t>
            </w:r>
          </w:p>
          <w:p w14:paraId="455B38B2">
            <w:pPr>
              <w:widowControl/>
              <w:jc w:val="left"/>
              <w:rPr>
                <w:rFonts w:ascii="宋体" w:hAnsi="宋体" w:cs="宋体"/>
                <w:kern w:val="0"/>
                <w:szCs w:val="21"/>
              </w:rPr>
            </w:pPr>
          </w:p>
        </w:tc>
      </w:tr>
      <w:tr w14:paraId="1AA72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4" w:hRule="atLeast"/>
        </w:trPr>
        <w:tc>
          <w:tcPr>
            <w:tcW w:w="399" w:type="pct"/>
            <w:tcMar>
              <w:top w:w="120" w:type="dxa"/>
              <w:left w:w="120" w:type="dxa"/>
              <w:bottom w:w="120" w:type="dxa"/>
              <w:right w:w="120" w:type="dxa"/>
            </w:tcMar>
            <w:vAlign w:val="center"/>
          </w:tcPr>
          <w:p w14:paraId="123C9FD8">
            <w:pPr>
              <w:widowControl/>
              <w:jc w:val="center"/>
              <w:rPr>
                <w:rFonts w:ascii="宋体" w:hAnsi="宋体" w:cs="宋体"/>
                <w:kern w:val="0"/>
                <w:szCs w:val="21"/>
              </w:rPr>
            </w:pPr>
            <w:r>
              <w:rPr>
                <w:rFonts w:hint="eastAsia" w:ascii="宋体" w:hAnsi="宋体" w:cs="宋体"/>
                <w:kern w:val="0"/>
                <w:szCs w:val="21"/>
              </w:rPr>
              <w:t>2</w:t>
            </w:r>
          </w:p>
        </w:tc>
        <w:tc>
          <w:tcPr>
            <w:tcW w:w="1247" w:type="pct"/>
            <w:tcMar>
              <w:top w:w="120" w:type="dxa"/>
              <w:left w:w="120" w:type="dxa"/>
              <w:bottom w:w="120" w:type="dxa"/>
              <w:right w:w="120" w:type="dxa"/>
            </w:tcMar>
            <w:vAlign w:val="center"/>
          </w:tcPr>
          <w:p w14:paraId="3ACCE43B">
            <w:pPr>
              <w:widowControl/>
              <w:jc w:val="center"/>
              <w:rPr>
                <w:rFonts w:ascii="宋体" w:hAnsi="宋体" w:cs="宋体"/>
                <w:kern w:val="0"/>
                <w:szCs w:val="21"/>
              </w:rPr>
            </w:pPr>
            <w:r>
              <w:rPr>
                <w:rFonts w:hint="eastAsia" w:ascii="宋体" w:hAnsi="宋体" w:cs="宋体"/>
                <w:kern w:val="0"/>
                <w:szCs w:val="21"/>
              </w:rPr>
              <w:t>不潜污泵</w:t>
            </w:r>
          </w:p>
        </w:tc>
        <w:tc>
          <w:tcPr>
            <w:tcW w:w="2046" w:type="pct"/>
            <w:tcMar>
              <w:top w:w="120" w:type="dxa"/>
              <w:left w:w="120" w:type="dxa"/>
              <w:bottom w:w="120" w:type="dxa"/>
              <w:right w:w="120" w:type="dxa"/>
            </w:tcMar>
            <w:vAlign w:val="center"/>
          </w:tcPr>
          <w:p w14:paraId="615C7F34">
            <w:pPr>
              <w:widowControl/>
              <w:rPr>
                <w:rFonts w:ascii="宋体" w:hAnsi="宋体" w:cs="宋体"/>
                <w:kern w:val="0"/>
                <w:szCs w:val="21"/>
              </w:rPr>
            </w:pPr>
            <w:r>
              <w:rPr>
                <w:rFonts w:hint="eastAsia" w:ascii="宋体" w:hAnsi="宋体" w:cs="宋体"/>
                <w:kern w:val="0"/>
                <w:szCs w:val="21"/>
              </w:rPr>
              <w:t>功率1.5kW   扬程15m  流量15方 电压380V</w:t>
            </w:r>
          </w:p>
        </w:tc>
        <w:tc>
          <w:tcPr>
            <w:tcW w:w="617" w:type="pct"/>
            <w:tcMar>
              <w:top w:w="120" w:type="dxa"/>
              <w:left w:w="120" w:type="dxa"/>
              <w:bottom w:w="120" w:type="dxa"/>
              <w:right w:w="120" w:type="dxa"/>
            </w:tcMar>
            <w:vAlign w:val="center"/>
          </w:tcPr>
          <w:p w14:paraId="3488CA94">
            <w:pPr>
              <w:widowControl/>
              <w:jc w:val="center"/>
              <w:rPr>
                <w:rFonts w:ascii="宋体" w:hAnsi="宋体" w:cs="宋体"/>
                <w:kern w:val="0"/>
                <w:szCs w:val="21"/>
              </w:rPr>
            </w:pPr>
            <w:r>
              <w:rPr>
                <w:rFonts w:hint="eastAsia" w:ascii="宋体" w:hAnsi="宋体" w:cs="宋体"/>
                <w:kern w:val="0"/>
                <w:szCs w:val="21"/>
              </w:rPr>
              <w:t>1台</w:t>
            </w:r>
          </w:p>
        </w:tc>
        <w:tc>
          <w:tcPr>
            <w:tcW w:w="689" w:type="pct"/>
            <w:tcMar>
              <w:top w:w="120" w:type="dxa"/>
              <w:left w:w="120" w:type="dxa"/>
              <w:bottom w:w="120" w:type="dxa"/>
              <w:right w:w="120" w:type="dxa"/>
            </w:tcMar>
            <w:vAlign w:val="center"/>
          </w:tcPr>
          <w:p w14:paraId="059C597D">
            <w:pPr>
              <w:widowControl/>
              <w:jc w:val="left"/>
              <w:rPr>
                <w:rFonts w:ascii="宋体" w:hAnsi="宋体" w:cs="宋体"/>
                <w:kern w:val="0"/>
                <w:szCs w:val="21"/>
              </w:rPr>
            </w:pPr>
            <w:r>
              <w:rPr>
                <w:rFonts w:hint="eastAsia" w:ascii="宋体" w:hAnsi="宋体" w:cs="宋体"/>
                <w:kern w:val="0"/>
                <w:szCs w:val="21"/>
              </w:rPr>
              <w:t xml:space="preserve">  </w:t>
            </w:r>
          </w:p>
          <w:p w14:paraId="008469AD">
            <w:pPr>
              <w:widowControl/>
              <w:jc w:val="left"/>
              <w:rPr>
                <w:rFonts w:ascii="宋体" w:hAnsi="宋体" w:cs="宋体"/>
                <w:kern w:val="0"/>
                <w:szCs w:val="21"/>
              </w:rPr>
            </w:pPr>
          </w:p>
        </w:tc>
      </w:tr>
      <w:tr w14:paraId="5BC98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4" w:hRule="atLeast"/>
        </w:trPr>
        <w:tc>
          <w:tcPr>
            <w:tcW w:w="399" w:type="pct"/>
            <w:tcMar>
              <w:top w:w="120" w:type="dxa"/>
              <w:left w:w="120" w:type="dxa"/>
              <w:bottom w:w="120" w:type="dxa"/>
              <w:right w:w="120" w:type="dxa"/>
            </w:tcMar>
            <w:vAlign w:val="center"/>
          </w:tcPr>
          <w:p w14:paraId="19582209">
            <w:pPr>
              <w:widowControl/>
              <w:jc w:val="center"/>
              <w:rPr>
                <w:rFonts w:ascii="宋体" w:hAnsi="宋体" w:cs="宋体"/>
                <w:kern w:val="0"/>
                <w:szCs w:val="21"/>
              </w:rPr>
            </w:pPr>
            <w:r>
              <w:rPr>
                <w:rFonts w:hint="eastAsia" w:ascii="宋体" w:hAnsi="宋体" w:cs="宋体"/>
                <w:kern w:val="0"/>
                <w:szCs w:val="21"/>
              </w:rPr>
              <w:t>3</w:t>
            </w:r>
          </w:p>
        </w:tc>
        <w:tc>
          <w:tcPr>
            <w:tcW w:w="1247" w:type="pct"/>
            <w:tcMar>
              <w:top w:w="120" w:type="dxa"/>
              <w:left w:w="120" w:type="dxa"/>
              <w:bottom w:w="120" w:type="dxa"/>
              <w:right w:w="120" w:type="dxa"/>
            </w:tcMar>
            <w:vAlign w:val="center"/>
          </w:tcPr>
          <w:p w14:paraId="651E7342">
            <w:pPr>
              <w:widowControl/>
              <w:jc w:val="center"/>
              <w:rPr>
                <w:rFonts w:ascii="宋体" w:hAnsi="宋体" w:cs="宋体"/>
                <w:kern w:val="0"/>
                <w:szCs w:val="21"/>
              </w:rPr>
            </w:pPr>
            <w:r>
              <w:rPr>
                <w:rFonts w:hint="eastAsia" w:ascii="宋体" w:hAnsi="宋体" w:cs="宋体"/>
                <w:kern w:val="0"/>
                <w:szCs w:val="21"/>
              </w:rPr>
              <w:t>脉冲计量泵</w:t>
            </w:r>
          </w:p>
        </w:tc>
        <w:tc>
          <w:tcPr>
            <w:tcW w:w="2046" w:type="pct"/>
            <w:tcMar>
              <w:top w:w="120" w:type="dxa"/>
              <w:left w:w="120" w:type="dxa"/>
              <w:bottom w:w="120" w:type="dxa"/>
              <w:right w:w="120" w:type="dxa"/>
            </w:tcMar>
            <w:vAlign w:val="center"/>
          </w:tcPr>
          <w:p w14:paraId="5C388976">
            <w:pPr>
              <w:widowControl/>
              <w:jc w:val="center"/>
              <w:rPr>
                <w:rFonts w:ascii="宋体" w:hAnsi="宋体" w:cs="宋体"/>
                <w:kern w:val="0"/>
                <w:szCs w:val="21"/>
              </w:rPr>
            </w:pPr>
            <w:r>
              <w:rPr>
                <w:rFonts w:hint="eastAsia" w:ascii="宋体" w:hAnsi="宋体" w:cs="宋体"/>
                <w:kern w:val="0"/>
                <w:szCs w:val="21"/>
              </w:rPr>
              <w:t>流量20L/H  电压220V 功率350w</w:t>
            </w:r>
          </w:p>
        </w:tc>
        <w:tc>
          <w:tcPr>
            <w:tcW w:w="617" w:type="pct"/>
            <w:tcMar>
              <w:top w:w="120" w:type="dxa"/>
              <w:left w:w="120" w:type="dxa"/>
              <w:bottom w:w="120" w:type="dxa"/>
              <w:right w:w="120" w:type="dxa"/>
            </w:tcMar>
            <w:vAlign w:val="center"/>
          </w:tcPr>
          <w:p w14:paraId="7FFE4F93">
            <w:pPr>
              <w:widowControl/>
              <w:jc w:val="center"/>
              <w:rPr>
                <w:rFonts w:ascii="宋体" w:hAnsi="宋体" w:cs="宋体"/>
                <w:kern w:val="0"/>
                <w:szCs w:val="21"/>
              </w:rPr>
            </w:pPr>
            <w:r>
              <w:rPr>
                <w:rFonts w:hint="eastAsia" w:ascii="宋体" w:hAnsi="宋体" w:cs="宋体"/>
                <w:kern w:val="0"/>
                <w:szCs w:val="21"/>
              </w:rPr>
              <w:t>2台</w:t>
            </w:r>
          </w:p>
        </w:tc>
        <w:tc>
          <w:tcPr>
            <w:tcW w:w="689" w:type="pct"/>
            <w:tcMar>
              <w:top w:w="120" w:type="dxa"/>
              <w:left w:w="120" w:type="dxa"/>
              <w:bottom w:w="120" w:type="dxa"/>
              <w:right w:w="120" w:type="dxa"/>
            </w:tcMar>
            <w:vAlign w:val="center"/>
          </w:tcPr>
          <w:p w14:paraId="5A3FC731">
            <w:pPr>
              <w:widowControl/>
              <w:jc w:val="left"/>
              <w:rPr>
                <w:rFonts w:ascii="宋体" w:hAnsi="宋体" w:cs="宋体"/>
                <w:kern w:val="0"/>
                <w:szCs w:val="21"/>
              </w:rPr>
            </w:pPr>
          </w:p>
        </w:tc>
      </w:tr>
    </w:tbl>
    <w:p w14:paraId="292462FE">
      <w:pPr>
        <w:numPr>
          <w:ilvl w:val="0"/>
          <w:numId w:val="3"/>
        </w:numPr>
        <w:spacing w:line="360" w:lineRule="auto"/>
        <w:ind w:firstLine="420" w:firstLineChars="200"/>
        <w:rPr>
          <w:rFonts w:ascii="宋体" w:hAnsi="宋体" w:cs="宋体"/>
          <w:szCs w:val="21"/>
        </w:rPr>
      </w:pPr>
      <w:r>
        <w:rPr>
          <w:rFonts w:hint="eastAsia" w:ascii="宋体" w:hAnsi="宋体" w:cs="宋体"/>
          <w:szCs w:val="21"/>
        </w:rPr>
        <w:t>工艺流程图</w:t>
      </w:r>
    </w:p>
    <w:p w14:paraId="12D833FE">
      <w:pPr>
        <w:numPr>
          <w:ilvl w:val="255"/>
          <w:numId w:val="0"/>
        </w:numPr>
        <w:spacing w:line="360" w:lineRule="auto"/>
        <w:ind w:firstLine="420" w:firstLineChars="200"/>
        <w:jc w:val="left"/>
        <w:rPr>
          <w:rFonts w:ascii="宋体" w:hAnsi="宋体" w:cs="宋体"/>
          <w:szCs w:val="21"/>
        </w:rPr>
      </w:pPr>
      <w:r>
        <w:rPr>
          <w:rFonts w:hint="eastAsia" w:ascii="宋体" w:hAnsi="宋体" w:cs="宋体"/>
          <w:szCs w:val="21"/>
        </w:rPr>
        <w:t>医院污水处理工艺流程：污水从医院总排口接进—污水收集井｛通过提升泵｝—格栅池｛格碴｝—调节池｛调整pH值｝—混凝沉淀池｛沉淀大的悬浮物，颗粒污泥，投加PAC,PAM药剂｝—消毒池｛投加消毒药剂：次氯酸钠：通过次氯酸钠发生器反应，二氧化氯溶液等等｝—采样检测池｛检测污水的：余氯，pH值｝—排放口｛污水通过处理及检测后达到标准排放｝。</w:t>
      </w:r>
    </w:p>
    <w:p w14:paraId="0B4F5970">
      <w:pPr>
        <w:numPr>
          <w:ilvl w:val="0"/>
          <w:numId w:val="2"/>
        </w:numPr>
        <w:spacing w:line="360" w:lineRule="auto"/>
        <w:ind w:firstLine="422" w:firstLineChars="200"/>
        <w:rPr>
          <w:rFonts w:ascii="宋体" w:hAnsi="宋体" w:cs="宋体"/>
          <w:szCs w:val="21"/>
        </w:rPr>
      </w:pPr>
      <w:r>
        <w:rPr>
          <w:rFonts w:hint="eastAsia" w:ascii="宋体" w:hAnsi="宋体" w:cs="宋体"/>
          <w:b/>
          <w:bCs/>
          <w:szCs w:val="21"/>
        </w:rPr>
        <w:t>项目预算金额：</w:t>
      </w:r>
      <w:r>
        <w:rPr>
          <w:rFonts w:hint="eastAsia" w:ascii="宋体" w:hAnsi="宋体" w:cs="宋体"/>
          <w:b/>
          <w:bCs/>
          <w:szCs w:val="21"/>
          <w:lang w:val="en-US" w:eastAsia="zh-CN"/>
        </w:rPr>
        <w:t>19</w:t>
      </w:r>
      <w:r>
        <w:rPr>
          <w:rFonts w:hint="eastAsia" w:ascii="宋体" w:hAnsi="宋体" w:cs="宋体"/>
          <w:szCs w:val="21"/>
        </w:rPr>
        <w:t>万元/年。</w:t>
      </w:r>
    </w:p>
    <w:p w14:paraId="7E26E012">
      <w:pPr>
        <w:numPr>
          <w:ilvl w:val="255"/>
          <w:numId w:val="0"/>
        </w:numPr>
        <w:spacing w:line="360" w:lineRule="auto"/>
        <w:ind w:firstLine="424" w:firstLineChars="200"/>
        <w:rPr>
          <w:rFonts w:ascii="宋体" w:hAnsi="宋体" w:cs="宋体"/>
          <w:color w:val="FF0000"/>
          <w:szCs w:val="21"/>
        </w:rPr>
      </w:pPr>
      <w:r>
        <w:rPr>
          <w:rFonts w:ascii="Segoe UI" w:hAnsi="Segoe UI" w:cs="Segoe UI"/>
          <w:color w:val="FF0000"/>
          <w:spacing w:val="1"/>
          <w:shd w:val="clear" w:color="auto" w:fill="FFFFFF"/>
        </w:rPr>
        <w:t>本项目服务费采用包干制，包干费用仅包含完成本项目约定服务内容所需的全部费用</w:t>
      </w:r>
      <w:r>
        <w:rPr>
          <w:rFonts w:hint="eastAsia" w:ascii="宋体" w:hAnsi="宋体" w:cs="宋体"/>
          <w:szCs w:val="21"/>
        </w:rPr>
        <w:t>，服务费包含污水处理站运维外包服务期间的全成本：含服务人员工资、保底处理量对应的药品、单价≤1000元的设备维修材料费等所有运营成本，以及法定税费和企业合理利润。由企业根据招标文件所提供的资料自行测算投标报价；一经中标，投标报价总价作为中标人与采购人签订的合同金额，在合同期限内不作调整。</w:t>
      </w:r>
    </w:p>
    <w:p w14:paraId="346F1032">
      <w:pPr>
        <w:numPr>
          <w:ilvl w:val="0"/>
          <w:numId w:val="2"/>
        </w:numPr>
        <w:spacing w:line="360" w:lineRule="auto"/>
        <w:ind w:firstLine="422" w:firstLineChars="200"/>
        <w:rPr>
          <w:rFonts w:ascii="宋体" w:hAnsi="宋体" w:cs="宋体"/>
          <w:szCs w:val="21"/>
        </w:rPr>
      </w:pPr>
      <w:r>
        <w:rPr>
          <w:rFonts w:hint="eastAsia" w:ascii="宋体" w:hAnsi="宋体" w:cs="宋体"/>
          <w:b/>
          <w:bCs/>
          <w:szCs w:val="21"/>
        </w:rPr>
        <w:t>投标人资质要求</w:t>
      </w:r>
    </w:p>
    <w:p w14:paraId="23CD192B">
      <w:pPr>
        <w:numPr>
          <w:ilvl w:val="0"/>
          <w:numId w:val="4"/>
        </w:numPr>
        <w:spacing w:line="360" w:lineRule="auto"/>
        <w:rPr>
          <w:rFonts w:ascii="宋体" w:hAnsi="宋体" w:cs="宋体"/>
          <w:szCs w:val="21"/>
        </w:rPr>
      </w:pPr>
      <w:r>
        <w:rPr>
          <w:rFonts w:hint="eastAsia" w:ascii="宋体" w:hAnsi="宋体" w:cs="宋体"/>
          <w:szCs w:val="21"/>
        </w:rPr>
        <w:t>投标人必须是具有独立法人资格</w:t>
      </w:r>
      <w:r>
        <w:rPr>
          <w:rFonts w:hint="eastAsia" w:ascii="宋体" w:hAnsi="宋体" w:cs="宋体"/>
          <w:color w:val="FF0000"/>
          <w:szCs w:val="21"/>
        </w:rPr>
        <w:t>或为具有独立承担民事责任能力的分支机构及其它组织</w:t>
      </w:r>
      <w:r>
        <w:rPr>
          <w:rFonts w:hint="eastAsia" w:ascii="宋体" w:hAnsi="宋体" w:cs="宋体"/>
          <w:szCs w:val="21"/>
        </w:rPr>
        <w:t>（提供营业执照或事业单位法人证书或其他证明材料复印件并加盖公章，原件备查）；</w:t>
      </w:r>
    </w:p>
    <w:p w14:paraId="0E4B59A5">
      <w:pPr>
        <w:numPr>
          <w:ilvl w:val="0"/>
          <w:numId w:val="4"/>
        </w:numPr>
        <w:spacing w:line="360" w:lineRule="auto"/>
        <w:rPr>
          <w:rFonts w:ascii="宋体" w:hAnsi="宋体" w:cs="宋体"/>
          <w:szCs w:val="21"/>
        </w:rPr>
      </w:pPr>
      <w:r>
        <w:rPr>
          <w:rFonts w:hint="eastAsia" w:ascii="宋体" w:hAnsi="宋体" w:cs="宋体"/>
          <w:szCs w:val="21"/>
        </w:rPr>
        <w:t>参与本项目政府采购活动时不存在被有关部门禁止参与政府采购活动且在有效期内的情况（由供应商在《政府采购投标及履约承诺函》中作出声明，加盖公章）；</w:t>
      </w:r>
    </w:p>
    <w:p w14:paraId="7BBACC4E">
      <w:pPr>
        <w:numPr>
          <w:ilvl w:val="0"/>
          <w:numId w:val="4"/>
        </w:numPr>
        <w:spacing w:line="360" w:lineRule="auto"/>
        <w:rPr>
          <w:rFonts w:ascii="宋体" w:hAnsi="宋体" w:cs="宋体"/>
          <w:szCs w:val="21"/>
        </w:rPr>
      </w:pPr>
      <w:r>
        <w:rPr>
          <w:rFonts w:hint="eastAsia" w:ascii="宋体" w:hAnsi="宋体" w:cs="宋体"/>
          <w:szCs w:val="21"/>
        </w:rPr>
        <w:t>具备《中华人民共和国政府采购法》第二十二条第一款的条件（由供应商在《政府采购投标及履约承诺函》中作出声明，加盖公章）；</w:t>
      </w:r>
    </w:p>
    <w:p w14:paraId="483CC379">
      <w:pPr>
        <w:numPr>
          <w:ilvl w:val="0"/>
          <w:numId w:val="4"/>
        </w:numPr>
        <w:spacing w:line="360" w:lineRule="auto"/>
        <w:rPr>
          <w:rFonts w:ascii="宋体" w:hAnsi="宋体" w:cs="宋体"/>
          <w:szCs w:val="21"/>
        </w:rPr>
      </w:pPr>
      <w:r>
        <w:rPr>
          <w:rFonts w:hint="eastAsia" w:ascii="宋体" w:hAnsi="宋体" w:cs="宋体"/>
          <w:szCs w:val="21"/>
        </w:rPr>
        <w:t>未被列入失信被执行人、重大税收违法失信主体、政府采购严重违法失信行为记录名单（由供应商在《政府采购投标及履约承诺函》中作出声明，加盖公章）；【注：采购代理机构将通过“信用中国”中“信用服务”栏的“重大税收违法失信主体”“失信被执行人”“中国政府采购网”中的“政府采购严重违法失信行为记录名单”“深圳信用网”以及“深圳市政府采购监管网”查询供应商的信用信息，相关信息以开标当日的查询结果为准。信用信息查询记录将作为项目档案材料一并保存】</w:t>
      </w:r>
    </w:p>
    <w:p w14:paraId="5E23CB9A">
      <w:pPr>
        <w:numPr>
          <w:ilvl w:val="0"/>
          <w:numId w:val="4"/>
        </w:numPr>
        <w:spacing w:line="360" w:lineRule="auto"/>
        <w:rPr>
          <w:rFonts w:ascii="宋体" w:hAnsi="宋体" w:cs="宋体"/>
          <w:szCs w:val="21"/>
        </w:rPr>
      </w:pPr>
      <w:r>
        <w:rPr>
          <w:rFonts w:hint="eastAsia" w:ascii="宋体" w:hAnsi="宋体" w:cs="宋体"/>
          <w:szCs w:val="21"/>
        </w:rPr>
        <w:t>不存在《深圳市财政局政府采购供应商信用信息管理办法》（深财规〔2023〕3 号）列明的严重违法失信行为（由供应商在《政府采购投标及履约承诺函》中作出声明）；</w:t>
      </w:r>
    </w:p>
    <w:p w14:paraId="1E46BA33">
      <w:pPr>
        <w:numPr>
          <w:ilvl w:val="0"/>
          <w:numId w:val="4"/>
        </w:numPr>
        <w:spacing w:line="360" w:lineRule="auto"/>
        <w:rPr>
          <w:rFonts w:ascii="宋体" w:hAnsi="宋体" w:cs="宋体"/>
          <w:szCs w:val="21"/>
        </w:rPr>
      </w:pPr>
      <w:r>
        <w:rPr>
          <w:rFonts w:hint="eastAsia" w:ascii="宋体" w:hAnsi="宋体" w:cs="宋体"/>
          <w:szCs w:val="21"/>
        </w:rPr>
        <w:t>为本项目提供整体设计、规范编制或者项目管理、监理、检测等服务的供应商，不得参加本项目投标。（由供应商在《政府采购投标及履约承诺函》中作出声明，加盖公章）；</w:t>
      </w:r>
    </w:p>
    <w:p w14:paraId="1A61F58B">
      <w:pPr>
        <w:numPr>
          <w:ilvl w:val="0"/>
          <w:numId w:val="4"/>
        </w:numPr>
        <w:spacing w:line="360" w:lineRule="auto"/>
        <w:rPr>
          <w:rFonts w:ascii="宋体" w:hAnsi="宋体" w:cs="宋体"/>
          <w:szCs w:val="21"/>
        </w:rPr>
      </w:pPr>
      <w:r>
        <w:rPr>
          <w:rFonts w:hint="eastAsia" w:ascii="宋体" w:hAnsi="宋体" w:cs="宋体"/>
          <w:szCs w:val="21"/>
        </w:rPr>
        <w:t>本项目不接受联合体投标，不接受投标人选用进口产品/服务参与投标，不允许转包分包（由供应商在《政府采购投标及履约承诺函》中作出声明，加盖公章）；</w:t>
      </w:r>
    </w:p>
    <w:p w14:paraId="3B15A61F">
      <w:pPr>
        <w:numPr>
          <w:ilvl w:val="0"/>
          <w:numId w:val="4"/>
        </w:numPr>
        <w:spacing w:line="360" w:lineRule="auto"/>
        <w:rPr>
          <w:rFonts w:ascii="宋体" w:hAnsi="宋体" w:cs="宋体"/>
          <w:szCs w:val="21"/>
        </w:rPr>
      </w:pPr>
      <w:r>
        <w:rPr>
          <w:rFonts w:hint="eastAsia" w:ascii="宋体" w:hAnsi="宋体" w:cs="宋体"/>
          <w:szCs w:val="21"/>
        </w:rPr>
        <w:t>本项目是否专门面向中小企业采购：否（由供应商在《中小企业声明函（服务）》或《残疾人福利性单位声明函》或《监狱企业声明函》中作出声明）；</w:t>
      </w:r>
    </w:p>
    <w:p w14:paraId="4892B7D2">
      <w:pPr>
        <w:numPr>
          <w:ilvl w:val="0"/>
          <w:numId w:val="4"/>
        </w:numPr>
        <w:spacing w:line="360" w:lineRule="auto"/>
        <w:rPr>
          <w:rFonts w:ascii="宋体" w:hAnsi="宋体" w:cs="宋体"/>
          <w:szCs w:val="21"/>
        </w:rPr>
      </w:pPr>
      <w:r>
        <w:rPr>
          <w:rFonts w:hint="eastAsia" w:ascii="宋体" w:hAnsi="宋体" w:cs="宋体"/>
          <w:szCs w:val="21"/>
        </w:rPr>
        <w:t>不同供应商的法定代表人、主要经营负责人、项目投标授权代表人、项目负责人、主要技术人员不得为同一人、属同一单位或者在同一单位缴纳社会保险；不同投标供应商的投标文件不得由同一单位或者同一人编制；单位负责人为同一人或者存在直接控股、管理关系的不同供应商，不得参加本项目政府采购活动（由供应商填写《供应商基本情况表》相关信息，如发现不同投标供应商的相关信息存在上述“不得”的情形，作投标无效处理）；</w:t>
      </w:r>
    </w:p>
    <w:p w14:paraId="3FA2D4D9">
      <w:pPr>
        <w:numPr>
          <w:ilvl w:val="0"/>
          <w:numId w:val="2"/>
        </w:numPr>
        <w:spacing w:line="360" w:lineRule="auto"/>
        <w:ind w:firstLine="422" w:firstLineChars="200"/>
        <w:rPr>
          <w:rFonts w:ascii="宋体" w:hAnsi="宋体" w:cs="宋体"/>
          <w:b/>
          <w:bCs/>
          <w:szCs w:val="21"/>
        </w:rPr>
      </w:pPr>
      <w:r>
        <w:rPr>
          <w:rFonts w:hint="eastAsia" w:ascii="宋体" w:hAnsi="宋体" w:cs="宋体"/>
          <w:b/>
          <w:bCs/>
          <w:szCs w:val="21"/>
        </w:rPr>
        <w:t>评审方法：综合评分法</w:t>
      </w:r>
    </w:p>
    <w:p w14:paraId="112E9568">
      <w:pPr>
        <w:pStyle w:val="2"/>
        <w:rPr>
          <w:rFonts w:cs="宋体"/>
          <w:sz w:val="21"/>
          <w:szCs w:val="21"/>
        </w:rPr>
      </w:pPr>
      <w:bookmarkStart w:id="0" w:name="_Toc24015565"/>
      <w:bookmarkStart w:id="1" w:name="_Toc15886"/>
      <w:r>
        <w:rPr>
          <w:rFonts w:hint="eastAsia" w:cs="宋体"/>
          <w:sz w:val="21"/>
          <w:szCs w:val="21"/>
        </w:rPr>
        <w:t>综合评分表</w:t>
      </w:r>
      <w:bookmarkEnd w:id="0"/>
      <w:bookmarkEnd w:id="1"/>
    </w:p>
    <w:tbl>
      <w:tblPr>
        <w:tblStyle w:val="18"/>
        <w:tblW w:w="5000" w:type="pct"/>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583"/>
        <w:gridCol w:w="1193"/>
        <w:gridCol w:w="5069"/>
        <w:gridCol w:w="800"/>
        <w:gridCol w:w="641"/>
      </w:tblGrid>
      <w:tr w14:paraId="381929D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883" w:hRule="atLeast"/>
        </w:trPr>
        <w:tc>
          <w:tcPr>
            <w:tcW w:w="351" w:type="pct"/>
            <w:vAlign w:val="center"/>
          </w:tcPr>
          <w:p w14:paraId="484945A2">
            <w:pPr>
              <w:ind w:left="-78" w:leftChars="-37" w:right="-73" w:rightChars="-35"/>
              <w:jc w:val="center"/>
              <w:rPr>
                <w:rFonts w:ascii="宋体" w:hAnsi="宋体" w:cs="宋体"/>
                <w:b/>
                <w:szCs w:val="21"/>
              </w:rPr>
            </w:pPr>
            <w:r>
              <w:rPr>
                <w:rFonts w:hint="eastAsia" w:ascii="宋体" w:hAnsi="宋体" w:cs="宋体"/>
                <w:b/>
                <w:szCs w:val="21"/>
              </w:rPr>
              <w:t>评审部分</w:t>
            </w:r>
          </w:p>
        </w:tc>
        <w:tc>
          <w:tcPr>
            <w:tcW w:w="720" w:type="pct"/>
            <w:vAlign w:val="center"/>
          </w:tcPr>
          <w:p w14:paraId="607DA3AF">
            <w:pPr>
              <w:ind w:left="-78" w:leftChars="-37" w:right="-73" w:rightChars="-35"/>
              <w:jc w:val="center"/>
              <w:rPr>
                <w:rFonts w:ascii="宋体" w:hAnsi="宋体" w:cs="宋体"/>
                <w:b/>
                <w:szCs w:val="21"/>
              </w:rPr>
            </w:pPr>
            <w:r>
              <w:rPr>
                <w:rFonts w:hint="eastAsia" w:ascii="宋体" w:hAnsi="宋体" w:cs="宋体"/>
                <w:b/>
                <w:szCs w:val="21"/>
              </w:rPr>
              <w:t>评审因素</w:t>
            </w:r>
          </w:p>
        </w:tc>
        <w:tc>
          <w:tcPr>
            <w:tcW w:w="3059" w:type="pct"/>
            <w:vAlign w:val="center"/>
          </w:tcPr>
          <w:p w14:paraId="34DD84FE">
            <w:pPr>
              <w:ind w:left="-78" w:leftChars="-37" w:right="-73" w:rightChars="-35"/>
              <w:jc w:val="center"/>
              <w:rPr>
                <w:rFonts w:ascii="宋体" w:hAnsi="宋体" w:cs="宋体"/>
                <w:b/>
                <w:szCs w:val="21"/>
              </w:rPr>
            </w:pPr>
            <w:r>
              <w:rPr>
                <w:rFonts w:hint="eastAsia" w:ascii="宋体" w:hAnsi="宋体" w:cs="宋体"/>
                <w:b/>
                <w:szCs w:val="21"/>
              </w:rPr>
              <w:t>评分细则</w:t>
            </w:r>
          </w:p>
        </w:tc>
        <w:tc>
          <w:tcPr>
            <w:tcW w:w="483" w:type="pct"/>
            <w:tcBorders>
              <w:right w:val="single" w:color="auto" w:sz="4" w:space="0"/>
            </w:tcBorders>
            <w:vAlign w:val="center"/>
          </w:tcPr>
          <w:p w14:paraId="0DDC892F">
            <w:pPr>
              <w:ind w:left="-78" w:leftChars="-37" w:right="-73" w:rightChars="-35"/>
              <w:jc w:val="center"/>
              <w:rPr>
                <w:rFonts w:ascii="宋体" w:hAnsi="宋体" w:cs="宋体"/>
                <w:b/>
                <w:szCs w:val="21"/>
              </w:rPr>
            </w:pPr>
            <w:r>
              <w:rPr>
                <w:rFonts w:hint="eastAsia" w:ascii="宋体" w:hAnsi="宋体" w:cs="宋体"/>
                <w:b/>
                <w:szCs w:val="21"/>
              </w:rPr>
              <w:t>权重</w:t>
            </w:r>
          </w:p>
        </w:tc>
        <w:tc>
          <w:tcPr>
            <w:tcW w:w="387" w:type="pct"/>
            <w:tcBorders>
              <w:left w:val="single" w:color="auto" w:sz="4" w:space="0"/>
            </w:tcBorders>
            <w:vAlign w:val="center"/>
          </w:tcPr>
          <w:p w14:paraId="3A327398">
            <w:pPr>
              <w:ind w:left="-78" w:leftChars="-37" w:right="-73" w:rightChars="-35"/>
              <w:jc w:val="center"/>
              <w:rPr>
                <w:rFonts w:ascii="宋体" w:hAnsi="宋体" w:cs="宋体"/>
                <w:b/>
                <w:szCs w:val="21"/>
              </w:rPr>
            </w:pPr>
            <w:r>
              <w:rPr>
                <w:rFonts w:hint="eastAsia" w:ascii="宋体" w:hAnsi="宋体" w:cs="宋体"/>
                <w:b/>
                <w:szCs w:val="21"/>
              </w:rPr>
              <w:t>分值</w:t>
            </w:r>
          </w:p>
        </w:tc>
      </w:tr>
      <w:tr w14:paraId="367037A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41" w:hRule="atLeast"/>
        </w:trPr>
        <w:tc>
          <w:tcPr>
            <w:tcW w:w="351" w:type="pct"/>
            <w:vAlign w:val="center"/>
          </w:tcPr>
          <w:p w14:paraId="2CF188AE">
            <w:pPr>
              <w:ind w:left="-78" w:leftChars="-37" w:right="-73" w:rightChars="-35"/>
              <w:jc w:val="center"/>
              <w:rPr>
                <w:rFonts w:ascii="宋体" w:hAnsi="宋体" w:cs="宋体"/>
                <w:b/>
                <w:szCs w:val="21"/>
              </w:rPr>
            </w:pPr>
            <w:r>
              <w:rPr>
                <w:rFonts w:hint="eastAsia" w:ascii="宋体" w:hAnsi="宋体" w:cs="宋体"/>
                <w:b/>
                <w:szCs w:val="21"/>
              </w:rPr>
              <w:t>一</w:t>
            </w:r>
          </w:p>
        </w:tc>
        <w:tc>
          <w:tcPr>
            <w:tcW w:w="4649" w:type="pct"/>
            <w:gridSpan w:val="4"/>
            <w:vAlign w:val="center"/>
          </w:tcPr>
          <w:p w14:paraId="56DB00B0">
            <w:pPr>
              <w:ind w:left="-78" w:leftChars="-37" w:right="-73" w:rightChars="-35"/>
              <w:jc w:val="center"/>
              <w:rPr>
                <w:rFonts w:ascii="宋体" w:hAnsi="宋体" w:cs="宋体"/>
                <w:b/>
                <w:szCs w:val="21"/>
              </w:rPr>
            </w:pPr>
            <w:r>
              <w:rPr>
                <w:rFonts w:hint="eastAsia" w:ascii="宋体" w:hAnsi="宋体" w:cs="宋体"/>
                <w:b/>
                <w:szCs w:val="21"/>
              </w:rPr>
              <w:t>技术部分（45分）</w:t>
            </w:r>
          </w:p>
        </w:tc>
      </w:tr>
      <w:tr w14:paraId="433B510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883" w:hRule="atLeast"/>
        </w:trPr>
        <w:tc>
          <w:tcPr>
            <w:tcW w:w="351" w:type="pct"/>
            <w:tcBorders>
              <w:bottom w:val="single" w:color="auto" w:sz="4" w:space="0"/>
            </w:tcBorders>
            <w:vAlign w:val="center"/>
          </w:tcPr>
          <w:p w14:paraId="0E101634">
            <w:pPr>
              <w:pStyle w:val="42"/>
              <w:numPr>
                <w:ilvl w:val="0"/>
                <w:numId w:val="5"/>
              </w:numPr>
              <w:ind w:firstLineChars="0"/>
              <w:jc w:val="right"/>
              <w:rPr>
                <w:rFonts w:ascii="宋体" w:hAnsi="宋体" w:cs="宋体"/>
                <w:szCs w:val="21"/>
              </w:rPr>
            </w:pPr>
          </w:p>
        </w:tc>
        <w:tc>
          <w:tcPr>
            <w:tcW w:w="720" w:type="pct"/>
            <w:shd w:val="clear" w:color="auto" w:fill="auto"/>
            <w:vAlign w:val="center"/>
          </w:tcPr>
          <w:p w14:paraId="1807236B">
            <w:pPr>
              <w:jc w:val="center"/>
              <w:rPr>
                <w:rFonts w:ascii="宋体" w:hAnsi="宋体" w:cs="宋体"/>
                <w:szCs w:val="21"/>
              </w:rPr>
            </w:pPr>
            <w:r>
              <w:rPr>
                <w:rFonts w:hint="eastAsia" w:ascii="宋体" w:hAnsi="宋体" w:cs="宋体"/>
                <w:kern w:val="0"/>
                <w:szCs w:val="21"/>
              </w:rPr>
              <w:t>技术要求偏离情况</w:t>
            </w:r>
          </w:p>
        </w:tc>
        <w:tc>
          <w:tcPr>
            <w:tcW w:w="3059" w:type="pct"/>
            <w:shd w:val="clear" w:color="auto" w:fill="auto"/>
            <w:vAlign w:val="center"/>
          </w:tcPr>
          <w:p w14:paraId="2147C667">
            <w:pPr>
              <w:rPr>
                <w:rFonts w:ascii="宋体" w:hAnsi="宋体" w:cs="宋体"/>
                <w:b/>
                <w:bCs/>
                <w:szCs w:val="21"/>
              </w:rPr>
            </w:pPr>
            <w:r>
              <w:rPr>
                <w:rFonts w:hint="eastAsia" w:ascii="宋体" w:hAnsi="宋体" w:cs="宋体"/>
                <w:b/>
                <w:bCs/>
                <w:szCs w:val="21"/>
              </w:rPr>
              <w:t>（一）评分内容：</w:t>
            </w:r>
          </w:p>
          <w:p w14:paraId="40A237A7">
            <w:pPr>
              <w:rPr>
                <w:rFonts w:ascii="宋体" w:hAnsi="宋体" w:cs="宋体"/>
                <w:szCs w:val="21"/>
              </w:rPr>
            </w:pPr>
            <w:r>
              <w:rPr>
                <w:rFonts w:hint="eastAsia" w:ascii="宋体" w:hAnsi="宋体" w:cs="宋体"/>
                <w:kern w:val="0"/>
                <w:szCs w:val="21"/>
              </w:rPr>
              <w:t>投标人应根据项目采购标的中如实填写《</w:t>
            </w:r>
            <w:r>
              <w:rPr>
                <w:rFonts w:hint="eastAsia" w:ascii="宋体" w:hAnsi="宋体" w:cs="宋体"/>
                <w:szCs w:val="21"/>
              </w:rPr>
              <w:t>技术规格偏离表</w:t>
            </w:r>
            <w:r>
              <w:rPr>
                <w:rFonts w:hint="eastAsia" w:ascii="宋体" w:hAnsi="宋体" w:cs="宋体"/>
                <w:kern w:val="0"/>
                <w:szCs w:val="21"/>
              </w:rPr>
              <w:t>》，评审委员会根据“</w:t>
            </w:r>
            <w:r>
              <w:rPr>
                <w:rFonts w:hint="eastAsia" w:ascii="宋体" w:hAnsi="宋体" w:cs="宋体"/>
                <w:b/>
                <w:bCs/>
                <w:szCs w:val="21"/>
              </w:rPr>
              <w:t>项目服务及技术要求、商务要求</w:t>
            </w:r>
            <w:r>
              <w:rPr>
                <w:rFonts w:hint="eastAsia" w:ascii="宋体" w:hAnsi="宋体" w:cs="宋体"/>
                <w:szCs w:val="21"/>
              </w:rPr>
              <w:t>”</w:t>
            </w:r>
            <w:r>
              <w:rPr>
                <w:rFonts w:hint="eastAsia" w:ascii="宋体" w:hAnsi="宋体" w:cs="宋体"/>
                <w:kern w:val="0"/>
                <w:szCs w:val="21"/>
              </w:rPr>
              <w:t>响应情况进行打分，各项技术参数指标及要求全部满足的得45分，</w:t>
            </w:r>
            <w:r>
              <w:rPr>
                <w:rFonts w:hint="eastAsia" w:ascii="宋体" w:hAnsi="宋体" w:cs="宋体"/>
                <w:szCs w:val="21"/>
              </w:rPr>
              <w:t>每负偏离一项扣2分，最低0分。</w:t>
            </w:r>
          </w:p>
          <w:p w14:paraId="45F0D7A2">
            <w:pPr>
              <w:pStyle w:val="6"/>
              <w:ind w:firstLine="0"/>
              <w:rPr>
                <w:rFonts w:ascii="宋体" w:hAnsi="宋体" w:cs="宋体"/>
                <w:b/>
                <w:bCs/>
                <w:szCs w:val="21"/>
              </w:rPr>
            </w:pPr>
            <w:r>
              <w:rPr>
                <w:rFonts w:hint="eastAsia" w:ascii="宋体" w:hAnsi="宋体" w:cs="宋体"/>
                <w:b/>
                <w:bCs/>
                <w:szCs w:val="21"/>
              </w:rPr>
              <w:t>（二）评分依据：</w:t>
            </w:r>
          </w:p>
          <w:p w14:paraId="1B746215">
            <w:pPr>
              <w:jc w:val="left"/>
              <w:rPr>
                <w:rFonts w:ascii="宋体" w:hAnsi="宋体" w:cs="宋体"/>
                <w:szCs w:val="21"/>
              </w:rPr>
            </w:pPr>
            <w:r>
              <w:rPr>
                <w:rFonts w:hint="eastAsia" w:ascii="宋体" w:hAnsi="宋体" w:cs="宋体"/>
                <w:szCs w:val="21"/>
              </w:rPr>
              <w:t>根据技术参数要求提供相关证明文件，未提供或提供的证明文件不符合要求的均视为负偏离。对于《技术规格偏离表》中投标技术响应与偏离情况填写不一致的，评委会可按负偏离处理。未要求证明文件的，以响应情况为准。</w:t>
            </w:r>
          </w:p>
        </w:tc>
        <w:tc>
          <w:tcPr>
            <w:tcW w:w="483" w:type="pct"/>
            <w:tcBorders>
              <w:right w:val="single" w:color="auto" w:sz="4" w:space="0"/>
            </w:tcBorders>
            <w:shd w:val="clear" w:color="auto" w:fill="auto"/>
            <w:vAlign w:val="center"/>
          </w:tcPr>
          <w:p w14:paraId="74DF122B">
            <w:pPr>
              <w:jc w:val="center"/>
              <w:rPr>
                <w:rFonts w:ascii="宋体" w:hAnsi="宋体" w:cs="宋体"/>
                <w:szCs w:val="21"/>
              </w:rPr>
            </w:pPr>
            <w:r>
              <w:rPr>
                <w:rFonts w:hint="eastAsia" w:ascii="宋体" w:hAnsi="宋体" w:cs="宋体"/>
                <w:szCs w:val="21"/>
              </w:rPr>
              <w:t>45%</w:t>
            </w:r>
          </w:p>
        </w:tc>
        <w:tc>
          <w:tcPr>
            <w:tcW w:w="387" w:type="pct"/>
            <w:tcBorders>
              <w:left w:val="single" w:color="auto" w:sz="4" w:space="0"/>
            </w:tcBorders>
            <w:shd w:val="clear" w:color="auto" w:fill="auto"/>
            <w:vAlign w:val="center"/>
          </w:tcPr>
          <w:p w14:paraId="03265DCD">
            <w:pPr>
              <w:ind w:left="-78" w:leftChars="-37" w:right="-73" w:rightChars="-35"/>
              <w:jc w:val="center"/>
              <w:rPr>
                <w:rFonts w:ascii="宋体" w:hAnsi="宋体" w:cs="宋体"/>
                <w:szCs w:val="21"/>
              </w:rPr>
            </w:pPr>
            <w:r>
              <w:rPr>
                <w:rFonts w:hint="eastAsia" w:ascii="宋体" w:hAnsi="宋体" w:cs="宋体"/>
                <w:szCs w:val="21"/>
              </w:rPr>
              <w:t>45分</w:t>
            </w:r>
          </w:p>
        </w:tc>
      </w:tr>
      <w:tr w14:paraId="0649B07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87" w:hRule="atLeast"/>
        </w:trPr>
        <w:tc>
          <w:tcPr>
            <w:tcW w:w="351" w:type="pct"/>
            <w:tcBorders>
              <w:top w:val="single" w:color="auto" w:sz="4" w:space="0"/>
            </w:tcBorders>
            <w:vAlign w:val="center"/>
          </w:tcPr>
          <w:p w14:paraId="7E045427">
            <w:pPr>
              <w:ind w:left="-78" w:leftChars="-37" w:right="-73" w:rightChars="-35"/>
              <w:jc w:val="center"/>
              <w:rPr>
                <w:rFonts w:ascii="宋体" w:hAnsi="宋体" w:cs="宋体"/>
                <w:b/>
                <w:szCs w:val="21"/>
              </w:rPr>
            </w:pPr>
            <w:r>
              <w:rPr>
                <w:rFonts w:hint="eastAsia" w:ascii="宋体" w:hAnsi="宋体" w:cs="宋体"/>
                <w:b/>
                <w:szCs w:val="21"/>
              </w:rPr>
              <w:t>二</w:t>
            </w:r>
          </w:p>
        </w:tc>
        <w:tc>
          <w:tcPr>
            <w:tcW w:w="4649" w:type="pct"/>
            <w:gridSpan w:val="4"/>
            <w:vAlign w:val="center"/>
          </w:tcPr>
          <w:p w14:paraId="38F89FCB">
            <w:pPr>
              <w:ind w:left="-78" w:leftChars="-37" w:right="-73" w:rightChars="-35"/>
              <w:jc w:val="center"/>
              <w:rPr>
                <w:rFonts w:ascii="宋体" w:hAnsi="宋体" w:cs="宋体"/>
                <w:b/>
                <w:szCs w:val="21"/>
              </w:rPr>
            </w:pPr>
            <w:r>
              <w:rPr>
                <w:rFonts w:hint="eastAsia" w:ascii="宋体" w:hAnsi="宋体" w:cs="宋体"/>
                <w:b/>
                <w:szCs w:val="21"/>
              </w:rPr>
              <w:t>商务部分（25分）</w:t>
            </w:r>
          </w:p>
        </w:tc>
      </w:tr>
      <w:tr w14:paraId="32C56BE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883" w:hRule="atLeast"/>
        </w:trPr>
        <w:tc>
          <w:tcPr>
            <w:tcW w:w="351" w:type="pct"/>
            <w:tcBorders>
              <w:top w:val="single" w:color="auto" w:sz="4" w:space="0"/>
              <w:bottom w:val="single" w:color="auto" w:sz="4" w:space="0"/>
            </w:tcBorders>
            <w:vAlign w:val="center"/>
          </w:tcPr>
          <w:p w14:paraId="3FA51D89">
            <w:pPr>
              <w:pStyle w:val="42"/>
              <w:numPr>
                <w:ilvl w:val="0"/>
                <w:numId w:val="6"/>
              </w:numPr>
              <w:ind w:firstLineChars="0"/>
              <w:jc w:val="center"/>
              <w:rPr>
                <w:rFonts w:ascii="宋体" w:hAnsi="宋体" w:cs="宋体"/>
                <w:szCs w:val="21"/>
              </w:rPr>
            </w:pPr>
          </w:p>
        </w:tc>
        <w:tc>
          <w:tcPr>
            <w:tcW w:w="720" w:type="pct"/>
            <w:shd w:val="clear" w:color="auto" w:fill="auto"/>
            <w:vAlign w:val="center"/>
          </w:tcPr>
          <w:p w14:paraId="4E4E18D0">
            <w:pPr>
              <w:wordWrap w:val="0"/>
              <w:jc w:val="center"/>
              <w:rPr>
                <w:rFonts w:ascii="宋体" w:hAnsi="宋体" w:cs="宋体"/>
                <w:szCs w:val="21"/>
              </w:rPr>
            </w:pPr>
            <w:r>
              <w:rPr>
                <w:rFonts w:hint="eastAsia" w:ascii="宋体" w:hAnsi="宋体" w:cs="宋体"/>
                <w:szCs w:val="21"/>
              </w:rPr>
              <w:t>项目实施方案</w:t>
            </w:r>
          </w:p>
        </w:tc>
        <w:tc>
          <w:tcPr>
            <w:tcW w:w="3059" w:type="pct"/>
            <w:shd w:val="clear" w:color="auto" w:fill="auto"/>
          </w:tcPr>
          <w:p w14:paraId="1C0FDAD4">
            <w:pPr>
              <w:numPr>
                <w:ilvl w:val="0"/>
                <w:numId w:val="7"/>
              </w:numPr>
              <w:wordWrap w:val="0"/>
              <w:rPr>
                <w:rFonts w:ascii="宋体" w:hAnsi="宋体" w:cs="宋体"/>
                <w:b/>
                <w:bCs/>
                <w:szCs w:val="21"/>
              </w:rPr>
            </w:pPr>
            <w:r>
              <w:rPr>
                <w:rFonts w:hint="eastAsia" w:ascii="宋体" w:hAnsi="宋体" w:cs="宋体"/>
                <w:b/>
                <w:bCs/>
                <w:szCs w:val="21"/>
              </w:rPr>
              <w:t>评分内容：</w:t>
            </w:r>
          </w:p>
          <w:p w14:paraId="5737FB51">
            <w:pPr>
              <w:wordWrap w:val="0"/>
              <w:rPr>
                <w:rFonts w:ascii="宋体" w:hAnsi="宋体" w:cs="宋体"/>
                <w:szCs w:val="21"/>
              </w:rPr>
            </w:pPr>
            <w:r>
              <w:rPr>
                <w:rFonts w:hint="eastAsia" w:ascii="宋体" w:hAnsi="宋体" w:cs="宋体"/>
                <w:szCs w:val="21"/>
              </w:rPr>
              <w:t xml:space="preserve">投标人针对本项目提供的项目实施方案，包括但不限于以下内容： </w:t>
            </w:r>
          </w:p>
          <w:p w14:paraId="528FA2F3">
            <w:pPr>
              <w:wordWrap w:val="0"/>
              <w:rPr>
                <w:rFonts w:ascii="宋体" w:hAnsi="宋体" w:cs="宋体"/>
                <w:szCs w:val="21"/>
              </w:rPr>
            </w:pPr>
            <w:r>
              <w:rPr>
                <w:rFonts w:hint="eastAsia" w:ascii="宋体" w:hAnsi="宋体" w:cs="宋体"/>
                <w:szCs w:val="21"/>
              </w:rPr>
              <w:t>1.运营服务方案</w:t>
            </w:r>
          </w:p>
          <w:p w14:paraId="537AA8E4">
            <w:pPr>
              <w:wordWrap w:val="0"/>
              <w:rPr>
                <w:rFonts w:ascii="宋体" w:hAnsi="宋体" w:cs="宋体"/>
                <w:szCs w:val="21"/>
              </w:rPr>
            </w:pPr>
            <w:r>
              <w:rPr>
                <w:rFonts w:hint="eastAsia" w:ascii="宋体" w:hAnsi="宋体" w:cs="宋体"/>
                <w:szCs w:val="21"/>
              </w:rPr>
              <w:t>2.运营维修、保养制度</w:t>
            </w:r>
          </w:p>
          <w:p w14:paraId="644A9064">
            <w:pPr>
              <w:wordWrap w:val="0"/>
              <w:rPr>
                <w:rFonts w:ascii="宋体" w:hAnsi="宋体" w:cs="宋体"/>
                <w:szCs w:val="21"/>
              </w:rPr>
            </w:pPr>
            <w:r>
              <w:rPr>
                <w:rFonts w:hint="eastAsia" w:ascii="宋体" w:hAnsi="宋体" w:cs="宋体"/>
                <w:szCs w:val="21"/>
              </w:rPr>
              <w:t>3.现场管理措施</w:t>
            </w:r>
          </w:p>
          <w:p w14:paraId="45BCE6B9">
            <w:pPr>
              <w:wordWrap w:val="0"/>
              <w:rPr>
                <w:rFonts w:ascii="宋体" w:hAnsi="宋体" w:cs="宋体"/>
                <w:szCs w:val="21"/>
              </w:rPr>
            </w:pPr>
            <w:r>
              <w:rPr>
                <w:rFonts w:hint="eastAsia" w:ascii="宋体" w:hAnsi="宋体" w:cs="宋体"/>
                <w:szCs w:val="21"/>
              </w:rPr>
              <w:t>4.项目人员配置</w:t>
            </w:r>
          </w:p>
          <w:p w14:paraId="7EA7A8E0">
            <w:pPr>
              <w:numPr>
                <w:ilvl w:val="0"/>
                <w:numId w:val="7"/>
              </w:numPr>
              <w:wordWrap w:val="0"/>
              <w:rPr>
                <w:rFonts w:ascii="宋体" w:hAnsi="宋体" w:cs="宋体"/>
                <w:b/>
                <w:bCs/>
                <w:szCs w:val="21"/>
              </w:rPr>
            </w:pPr>
            <w:r>
              <w:rPr>
                <w:rFonts w:hint="eastAsia" w:ascii="宋体" w:hAnsi="宋体" w:cs="宋体"/>
                <w:b/>
                <w:bCs/>
                <w:szCs w:val="21"/>
              </w:rPr>
              <w:t xml:space="preserve">评分依据： </w:t>
            </w:r>
          </w:p>
          <w:p w14:paraId="7ED87E05">
            <w:pPr>
              <w:wordWrap w:val="0"/>
              <w:rPr>
                <w:rFonts w:ascii="宋体" w:hAnsi="宋体" w:cs="宋体"/>
                <w:szCs w:val="21"/>
              </w:rPr>
            </w:pPr>
            <w:r>
              <w:rPr>
                <w:rFonts w:hint="eastAsia" w:ascii="宋体" w:hAnsi="宋体" w:cs="宋体"/>
                <w:szCs w:val="21"/>
              </w:rPr>
              <w:t xml:space="preserve">1.以上内容，每提供一点得2.5分，最高得10分。 </w:t>
            </w:r>
          </w:p>
          <w:p w14:paraId="26FA2A88">
            <w:pPr>
              <w:wordWrap w:val="0"/>
              <w:rPr>
                <w:rFonts w:ascii="宋体" w:hAnsi="宋体" w:cs="宋体"/>
                <w:szCs w:val="21"/>
              </w:rPr>
            </w:pPr>
            <w:r>
              <w:rPr>
                <w:rFonts w:hint="eastAsia" w:ascii="宋体" w:hAnsi="宋体" w:cs="宋体"/>
                <w:szCs w:val="21"/>
              </w:rPr>
              <w:t xml:space="preserve">2.在此基础上，专家根据各供应商的具体响应内容按照量化的评审因素指标进一步评审： </w:t>
            </w:r>
          </w:p>
          <w:p w14:paraId="0C7FA4DF">
            <w:pPr>
              <w:wordWrap w:val="0"/>
              <w:rPr>
                <w:rFonts w:ascii="宋体" w:hAnsi="宋体" w:cs="宋体"/>
                <w:szCs w:val="21"/>
              </w:rPr>
            </w:pPr>
            <w:r>
              <w:rPr>
                <w:rFonts w:hint="eastAsia" w:ascii="宋体" w:hAnsi="宋体" w:cs="宋体"/>
                <w:szCs w:val="21"/>
              </w:rPr>
              <w:t xml:space="preserve">（1）投标文件响应内容全面； </w:t>
            </w:r>
          </w:p>
          <w:p w14:paraId="14F79A10">
            <w:pPr>
              <w:wordWrap w:val="0"/>
              <w:rPr>
                <w:rFonts w:ascii="宋体" w:hAnsi="宋体" w:cs="宋体"/>
                <w:szCs w:val="21"/>
              </w:rPr>
            </w:pPr>
            <w:r>
              <w:rPr>
                <w:rFonts w:hint="eastAsia" w:ascii="宋体" w:hAnsi="宋体" w:cs="宋体"/>
                <w:szCs w:val="21"/>
              </w:rPr>
              <w:t xml:space="preserve">（2）投标文件响应内容具体； </w:t>
            </w:r>
          </w:p>
          <w:p w14:paraId="5BEBE94E">
            <w:pPr>
              <w:wordWrap w:val="0"/>
              <w:rPr>
                <w:rFonts w:ascii="宋体" w:hAnsi="宋体" w:cs="宋体"/>
                <w:szCs w:val="21"/>
              </w:rPr>
            </w:pPr>
            <w:r>
              <w:rPr>
                <w:rFonts w:hint="eastAsia" w:ascii="宋体" w:hAnsi="宋体" w:cs="宋体"/>
                <w:szCs w:val="21"/>
              </w:rPr>
              <w:t xml:space="preserve">（3）投标文件响应内容针对性强； </w:t>
            </w:r>
          </w:p>
          <w:p w14:paraId="58E9C3C1">
            <w:pPr>
              <w:wordWrap w:val="0"/>
              <w:rPr>
                <w:rFonts w:ascii="宋体" w:hAnsi="宋体" w:cs="宋体"/>
                <w:szCs w:val="21"/>
              </w:rPr>
            </w:pPr>
            <w:r>
              <w:rPr>
                <w:rFonts w:hint="eastAsia" w:ascii="宋体" w:hAnsi="宋体" w:cs="宋体"/>
                <w:szCs w:val="21"/>
              </w:rPr>
              <w:t xml:space="preserve">（4）投标文件响应内容科学合理； </w:t>
            </w:r>
          </w:p>
          <w:p w14:paraId="366F8F16">
            <w:pPr>
              <w:wordWrap w:val="0"/>
              <w:rPr>
                <w:rFonts w:ascii="宋体" w:hAnsi="宋体" w:cs="宋体"/>
                <w:szCs w:val="21"/>
              </w:rPr>
            </w:pPr>
            <w:r>
              <w:rPr>
                <w:rFonts w:hint="eastAsia" w:ascii="宋体" w:hAnsi="宋体" w:cs="宋体"/>
                <w:szCs w:val="21"/>
              </w:rPr>
              <w:t xml:space="preserve">（5）投标文件响应内容可操作性强。 </w:t>
            </w:r>
          </w:p>
          <w:p w14:paraId="616B22E2">
            <w:pPr>
              <w:wordWrap w:val="0"/>
              <w:rPr>
                <w:rFonts w:ascii="宋体" w:hAnsi="宋体" w:cs="宋体"/>
                <w:szCs w:val="21"/>
              </w:rPr>
            </w:pPr>
            <w:r>
              <w:rPr>
                <w:rFonts w:hint="eastAsia" w:ascii="宋体" w:hAnsi="宋体" w:cs="宋体"/>
                <w:szCs w:val="21"/>
              </w:rPr>
              <w:t>满足以上五项要求的评价为优</w:t>
            </w:r>
            <w:r>
              <w:rPr>
                <w:rFonts w:hint="eastAsia" w:ascii="宋体" w:hAnsi="宋体" w:cs="宋体"/>
                <w:szCs w:val="21"/>
                <w:lang w:eastAsia="zh-CN"/>
              </w:rPr>
              <w:t>，</w:t>
            </w:r>
            <w:r>
              <w:rPr>
                <w:rFonts w:hint="eastAsia" w:ascii="宋体" w:hAnsi="宋体" w:cs="宋体"/>
                <w:szCs w:val="21"/>
              </w:rPr>
              <w:t>加10分； 满足以上四项要求的评价为良</w:t>
            </w:r>
            <w:r>
              <w:rPr>
                <w:rFonts w:hint="eastAsia" w:ascii="宋体" w:hAnsi="宋体" w:cs="宋体"/>
                <w:szCs w:val="21"/>
                <w:lang w:eastAsia="zh-CN"/>
              </w:rPr>
              <w:t>，</w:t>
            </w:r>
            <w:r>
              <w:rPr>
                <w:rFonts w:hint="eastAsia" w:ascii="宋体" w:hAnsi="宋体" w:cs="宋体"/>
                <w:szCs w:val="21"/>
              </w:rPr>
              <w:t>加6分； 满足以上三项要求的评价为中</w:t>
            </w:r>
            <w:r>
              <w:rPr>
                <w:rFonts w:hint="eastAsia" w:ascii="宋体" w:hAnsi="宋体" w:cs="宋体"/>
                <w:szCs w:val="21"/>
                <w:lang w:eastAsia="zh-CN"/>
              </w:rPr>
              <w:t>，</w:t>
            </w:r>
            <w:r>
              <w:rPr>
                <w:rFonts w:hint="eastAsia" w:ascii="宋体" w:hAnsi="宋体" w:cs="宋体"/>
                <w:szCs w:val="21"/>
              </w:rPr>
              <w:t>加3分； 其他情况评价为差</w:t>
            </w:r>
            <w:r>
              <w:rPr>
                <w:rFonts w:hint="eastAsia" w:ascii="宋体" w:hAnsi="宋体" w:cs="宋体"/>
                <w:szCs w:val="21"/>
                <w:lang w:eastAsia="zh-CN"/>
              </w:rPr>
              <w:t>，</w:t>
            </w:r>
            <w:r>
              <w:rPr>
                <w:rFonts w:hint="eastAsia" w:ascii="宋体" w:hAnsi="宋体" w:cs="宋体"/>
                <w:szCs w:val="21"/>
              </w:rPr>
              <w:t>不加分。</w:t>
            </w:r>
          </w:p>
        </w:tc>
        <w:tc>
          <w:tcPr>
            <w:tcW w:w="483" w:type="pct"/>
            <w:tcBorders>
              <w:right w:val="single" w:color="auto" w:sz="4" w:space="0"/>
            </w:tcBorders>
            <w:shd w:val="clear" w:color="auto" w:fill="auto"/>
            <w:vAlign w:val="center"/>
          </w:tcPr>
          <w:p w14:paraId="3256E773">
            <w:pPr>
              <w:wordWrap w:val="0"/>
              <w:jc w:val="center"/>
              <w:rPr>
                <w:rFonts w:ascii="宋体" w:hAnsi="宋体" w:cs="宋体"/>
                <w:szCs w:val="21"/>
              </w:rPr>
            </w:pPr>
            <w:r>
              <w:rPr>
                <w:rFonts w:ascii="宋体" w:hAnsi="宋体" w:cs="宋体"/>
                <w:szCs w:val="21"/>
              </w:rPr>
              <w:t>12.5</w:t>
            </w:r>
            <w:r>
              <w:rPr>
                <w:rFonts w:hint="eastAsia" w:ascii="宋体" w:hAnsi="宋体" w:cs="宋体"/>
                <w:szCs w:val="21"/>
              </w:rPr>
              <w:t>%</w:t>
            </w:r>
          </w:p>
        </w:tc>
        <w:tc>
          <w:tcPr>
            <w:tcW w:w="387" w:type="pct"/>
            <w:tcBorders>
              <w:left w:val="single" w:color="auto" w:sz="4" w:space="0"/>
            </w:tcBorders>
            <w:shd w:val="clear" w:color="auto" w:fill="auto"/>
            <w:vAlign w:val="center"/>
          </w:tcPr>
          <w:p w14:paraId="5E8CECEE">
            <w:pPr>
              <w:ind w:left="-78" w:leftChars="-37" w:right="-73" w:rightChars="-35"/>
              <w:jc w:val="center"/>
              <w:rPr>
                <w:rFonts w:ascii="宋体" w:hAnsi="宋体" w:cs="宋体"/>
                <w:szCs w:val="21"/>
              </w:rPr>
            </w:pPr>
            <w:r>
              <w:rPr>
                <w:rFonts w:ascii="宋体" w:hAnsi="宋体" w:cs="宋体"/>
                <w:szCs w:val="21"/>
              </w:rPr>
              <w:t>12.5</w:t>
            </w:r>
            <w:r>
              <w:rPr>
                <w:rFonts w:hint="eastAsia" w:ascii="宋体" w:hAnsi="宋体" w:cs="宋体"/>
                <w:szCs w:val="21"/>
              </w:rPr>
              <w:t>分</w:t>
            </w:r>
          </w:p>
        </w:tc>
      </w:tr>
      <w:tr w14:paraId="16DE89F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883" w:hRule="atLeast"/>
        </w:trPr>
        <w:tc>
          <w:tcPr>
            <w:tcW w:w="351" w:type="pct"/>
            <w:tcBorders>
              <w:top w:val="single" w:color="auto" w:sz="4" w:space="0"/>
              <w:bottom w:val="single" w:color="auto" w:sz="4" w:space="0"/>
            </w:tcBorders>
            <w:vAlign w:val="center"/>
          </w:tcPr>
          <w:p w14:paraId="3413CBC2">
            <w:pPr>
              <w:pStyle w:val="42"/>
              <w:numPr>
                <w:ilvl w:val="0"/>
                <w:numId w:val="6"/>
              </w:numPr>
              <w:ind w:firstLineChars="0"/>
              <w:jc w:val="center"/>
              <w:rPr>
                <w:rFonts w:ascii="宋体" w:hAnsi="宋体" w:cs="宋体"/>
                <w:szCs w:val="21"/>
              </w:rPr>
            </w:pPr>
          </w:p>
        </w:tc>
        <w:tc>
          <w:tcPr>
            <w:tcW w:w="720" w:type="pct"/>
            <w:shd w:val="clear" w:color="auto" w:fill="auto"/>
            <w:vAlign w:val="center"/>
          </w:tcPr>
          <w:p w14:paraId="767CA6E4">
            <w:pPr>
              <w:wordWrap w:val="0"/>
              <w:jc w:val="center"/>
              <w:rPr>
                <w:rFonts w:ascii="宋体" w:hAnsi="宋体" w:cs="宋体"/>
                <w:color w:val="FF0000"/>
                <w:szCs w:val="21"/>
              </w:rPr>
            </w:pPr>
            <w:r>
              <w:rPr>
                <w:rFonts w:hint="eastAsia" w:ascii="宋体" w:hAnsi="宋体" w:cs="宋体"/>
                <w:color w:val="FF0000"/>
                <w:szCs w:val="21"/>
              </w:rPr>
              <w:t>管理体系认证</w:t>
            </w:r>
          </w:p>
        </w:tc>
        <w:tc>
          <w:tcPr>
            <w:tcW w:w="3059" w:type="pct"/>
            <w:shd w:val="clear" w:color="auto" w:fill="auto"/>
          </w:tcPr>
          <w:p w14:paraId="4F832E68">
            <w:pPr>
              <w:widowControl/>
              <w:shd w:val="clear" w:color="auto" w:fill="FFFFFF"/>
              <w:jc w:val="left"/>
              <w:textAlignment w:val="baseline"/>
              <w:rPr>
                <w:rFonts w:ascii="宋体" w:hAnsi="宋体" w:cs="宋体"/>
                <w:color w:val="FF0000"/>
                <w:spacing w:val="0"/>
                <w:kern w:val="2"/>
                <w:sz w:val="21"/>
                <w:szCs w:val="21"/>
              </w:rPr>
            </w:pPr>
            <w:r>
              <w:rPr>
                <w:rFonts w:ascii="宋体" w:hAnsi="宋体" w:cs="宋体"/>
                <w:color w:val="FF0000"/>
                <w:szCs w:val="21"/>
              </w:rPr>
              <w:t>1.</w:t>
            </w:r>
            <w:r>
              <w:rPr>
                <w:rFonts w:hint="eastAsia" w:ascii="宋体" w:hAnsi="宋体" w:cs="宋体"/>
                <w:color w:val="FF0000"/>
                <w:spacing w:val="0"/>
                <w:kern w:val="2"/>
                <w:sz w:val="21"/>
                <w:szCs w:val="21"/>
              </w:rPr>
              <w:t>评审内容：投标人具有与本项目运营服务及履约管理相关的有效管理体系认证证书。</w:t>
            </w:r>
          </w:p>
          <w:p w14:paraId="76982491">
            <w:pPr>
              <w:widowControl/>
              <w:shd w:val="clear" w:color="auto" w:fill="FFFFFF"/>
              <w:jc w:val="left"/>
              <w:textAlignment w:val="baseline"/>
              <w:rPr>
                <w:rFonts w:ascii="宋体" w:hAnsi="宋体" w:cs="宋体"/>
                <w:color w:val="FF0000"/>
                <w:spacing w:val="0"/>
                <w:kern w:val="2"/>
                <w:sz w:val="21"/>
                <w:szCs w:val="21"/>
              </w:rPr>
            </w:pPr>
            <w:r>
              <w:rPr>
                <w:rFonts w:ascii="宋体" w:hAnsi="宋体" w:cs="宋体"/>
                <w:color w:val="FF0000"/>
                <w:szCs w:val="21"/>
              </w:rPr>
              <w:t>2.</w:t>
            </w:r>
            <w:r>
              <w:rPr>
                <w:rFonts w:hint="eastAsia" w:ascii="宋体" w:hAnsi="宋体" w:cs="宋体"/>
                <w:color w:val="FF0000"/>
                <w:spacing w:val="0"/>
                <w:kern w:val="2"/>
                <w:sz w:val="21"/>
                <w:szCs w:val="21"/>
              </w:rPr>
              <w:t>评分标准：</w:t>
            </w:r>
          </w:p>
          <w:p w14:paraId="509F8BED">
            <w:pPr>
              <w:widowControl/>
              <w:shd w:val="clear" w:color="auto" w:fill="FFFFFF"/>
              <w:jc w:val="left"/>
              <w:textAlignment w:val="baseline"/>
              <w:rPr>
                <w:rFonts w:ascii="宋体" w:hAnsi="宋体" w:cs="宋体"/>
                <w:color w:val="FF0000"/>
                <w:szCs w:val="21"/>
              </w:rPr>
            </w:pPr>
            <w:r>
              <w:rPr>
                <w:rFonts w:hint="eastAsia" w:ascii="宋体" w:hAnsi="宋体" w:cs="宋体"/>
                <w:color w:val="FF0000"/>
                <w:szCs w:val="21"/>
              </w:rPr>
              <w:t>（</w:t>
            </w:r>
            <w:r>
              <w:rPr>
                <w:rFonts w:ascii="宋体" w:hAnsi="宋体" w:cs="宋体"/>
                <w:color w:val="FF0000"/>
                <w:szCs w:val="21"/>
              </w:rPr>
              <w:t>1）</w:t>
            </w:r>
            <w:r>
              <w:rPr>
                <w:rFonts w:hint="eastAsia" w:ascii="宋体" w:hAnsi="宋体" w:cs="宋体"/>
                <w:color w:val="FF0000"/>
                <w:spacing w:val="0"/>
                <w:kern w:val="2"/>
                <w:sz w:val="21"/>
                <w:szCs w:val="21"/>
              </w:rPr>
              <w:t>具有有效的质量管理体系认证证书，得</w:t>
            </w:r>
            <w:r>
              <w:rPr>
                <w:rFonts w:hint="eastAsia" w:ascii="宋体" w:hAnsi="宋体" w:cs="宋体"/>
                <w:color w:val="FF0000"/>
                <w:szCs w:val="21"/>
              </w:rPr>
              <w:t>2</w:t>
            </w:r>
            <w:r>
              <w:rPr>
                <w:rFonts w:ascii="宋体" w:hAnsi="宋体" w:cs="宋体"/>
                <w:color w:val="FF0000"/>
                <w:szCs w:val="21"/>
              </w:rPr>
              <w:t>.5</w:t>
            </w:r>
            <w:r>
              <w:rPr>
                <w:rFonts w:hint="eastAsia" w:ascii="宋体" w:hAnsi="宋体" w:cs="宋体"/>
                <w:color w:val="FF0000"/>
                <w:spacing w:val="0"/>
                <w:kern w:val="2"/>
                <w:sz w:val="21"/>
                <w:szCs w:val="21"/>
              </w:rPr>
              <w:t>分；</w:t>
            </w:r>
          </w:p>
          <w:p w14:paraId="54EFFAB3">
            <w:pPr>
              <w:widowControl/>
              <w:shd w:val="clear" w:color="auto" w:fill="FFFFFF"/>
              <w:jc w:val="left"/>
              <w:textAlignment w:val="baseline"/>
              <w:rPr>
                <w:rFonts w:ascii="宋体" w:hAnsi="宋体" w:cs="宋体"/>
                <w:color w:val="FF0000"/>
                <w:szCs w:val="21"/>
              </w:rPr>
            </w:pPr>
            <w:r>
              <w:rPr>
                <w:rFonts w:hint="eastAsia" w:ascii="宋体" w:hAnsi="宋体" w:cs="宋体"/>
                <w:color w:val="FF0000"/>
                <w:szCs w:val="21"/>
              </w:rPr>
              <w:t>（</w:t>
            </w:r>
            <w:r>
              <w:rPr>
                <w:rFonts w:ascii="宋体" w:hAnsi="宋体" w:cs="宋体"/>
                <w:color w:val="FF0000"/>
                <w:szCs w:val="21"/>
              </w:rPr>
              <w:t>2）</w:t>
            </w:r>
            <w:r>
              <w:rPr>
                <w:rFonts w:hint="eastAsia" w:ascii="宋体" w:hAnsi="宋体" w:cs="宋体"/>
                <w:color w:val="FF0000"/>
                <w:spacing w:val="0"/>
                <w:kern w:val="2"/>
                <w:sz w:val="21"/>
                <w:szCs w:val="21"/>
              </w:rPr>
              <w:t>具有有效的环境管理体系认证证书，得</w:t>
            </w:r>
            <w:r>
              <w:rPr>
                <w:rFonts w:hint="eastAsia" w:ascii="宋体" w:hAnsi="宋体" w:cs="宋体"/>
                <w:color w:val="FF0000"/>
                <w:szCs w:val="21"/>
              </w:rPr>
              <w:t>2</w:t>
            </w:r>
            <w:r>
              <w:rPr>
                <w:rFonts w:ascii="宋体" w:hAnsi="宋体" w:cs="宋体"/>
                <w:color w:val="FF0000"/>
                <w:szCs w:val="21"/>
              </w:rPr>
              <w:t>.5</w:t>
            </w:r>
            <w:r>
              <w:rPr>
                <w:rFonts w:hint="eastAsia" w:ascii="宋体" w:hAnsi="宋体" w:cs="宋体"/>
                <w:color w:val="FF0000"/>
                <w:spacing w:val="0"/>
                <w:kern w:val="2"/>
                <w:sz w:val="21"/>
                <w:szCs w:val="21"/>
              </w:rPr>
              <w:t>分；</w:t>
            </w:r>
          </w:p>
          <w:p w14:paraId="5D55CDD1">
            <w:pPr>
              <w:widowControl/>
              <w:numPr>
                <w:ilvl w:val="0"/>
                <w:numId w:val="0"/>
              </w:numPr>
              <w:shd w:val="clear" w:color="auto" w:fill="FFFFFF"/>
              <w:ind w:left="0" w:firstLine="0"/>
              <w:jc w:val="left"/>
              <w:textAlignment w:val="baseline"/>
              <w:rPr>
                <w:rFonts w:ascii="宋体" w:hAnsi="宋体" w:cs="宋体"/>
                <w:color w:val="FF0000"/>
                <w:spacing w:val="0"/>
                <w:kern w:val="2"/>
                <w:sz w:val="21"/>
                <w:szCs w:val="21"/>
              </w:rPr>
            </w:pPr>
            <w:r>
              <w:rPr>
                <w:rFonts w:hint="eastAsia" w:ascii="宋体" w:hAnsi="宋体" w:cs="宋体"/>
                <w:color w:val="FF0000"/>
                <w:szCs w:val="21"/>
              </w:rPr>
              <w:t>（</w:t>
            </w:r>
            <w:r>
              <w:rPr>
                <w:rFonts w:ascii="宋体" w:hAnsi="宋体" w:cs="宋体"/>
                <w:color w:val="FF0000"/>
                <w:szCs w:val="21"/>
              </w:rPr>
              <w:t>3）</w:t>
            </w:r>
            <w:r>
              <w:rPr>
                <w:rFonts w:hint="eastAsia" w:ascii="宋体" w:hAnsi="宋体" w:cs="宋体"/>
                <w:color w:val="FF0000"/>
                <w:spacing w:val="0"/>
                <w:kern w:val="2"/>
                <w:sz w:val="21"/>
                <w:szCs w:val="21"/>
              </w:rPr>
              <w:t>具有有效的职业健康安全管理体系认证证书，得</w:t>
            </w:r>
            <w:r>
              <w:rPr>
                <w:rFonts w:hint="eastAsia" w:ascii="宋体" w:hAnsi="宋体" w:cs="宋体"/>
                <w:color w:val="FF0000"/>
                <w:szCs w:val="21"/>
              </w:rPr>
              <w:t>2</w:t>
            </w:r>
            <w:r>
              <w:rPr>
                <w:rFonts w:ascii="宋体" w:hAnsi="宋体" w:cs="宋体"/>
                <w:color w:val="FF0000"/>
                <w:szCs w:val="21"/>
              </w:rPr>
              <w:t>.5</w:t>
            </w:r>
            <w:r>
              <w:rPr>
                <w:rFonts w:hint="eastAsia" w:ascii="宋体" w:hAnsi="宋体" w:cs="宋体"/>
                <w:color w:val="FF0000"/>
                <w:spacing w:val="0"/>
                <w:kern w:val="2"/>
                <w:sz w:val="21"/>
                <w:szCs w:val="21"/>
              </w:rPr>
              <w:t>分。</w:t>
            </w:r>
          </w:p>
          <w:p w14:paraId="271B7BBB">
            <w:pPr>
              <w:widowControl/>
              <w:numPr>
                <w:ilvl w:val="0"/>
                <w:numId w:val="0"/>
              </w:numPr>
              <w:shd w:val="clear" w:color="auto" w:fill="FFFFFF"/>
              <w:wordWrap/>
              <w:jc w:val="left"/>
              <w:textAlignment w:val="baseline"/>
              <w:rPr>
                <w:rFonts w:ascii="宋体" w:hAnsi="宋体" w:cs="宋体"/>
                <w:b w:val="0"/>
                <w:bCs w:val="0"/>
                <w:color w:val="FF0000"/>
                <w:szCs w:val="21"/>
              </w:rPr>
            </w:pPr>
            <w:r>
              <w:rPr>
                <w:rFonts w:hint="eastAsia" w:ascii="宋体" w:hAnsi="宋体" w:cs="宋体"/>
                <w:color w:val="FF0000"/>
                <w:spacing w:val="0"/>
                <w:kern w:val="2"/>
                <w:sz w:val="21"/>
                <w:szCs w:val="21"/>
              </w:rPr>
              <w:t>本项最高得</w:t>
            </w:r>
            <w:r>
              <w:rPr>
                <w:rFonts w:ascii="宋体" w:hAnsi="宋体" w:cs="宋体"/>
                <w:color w:val="FF0000"/>
                <w:szCs w:val="21"/>
              </w:rPr>
              <w:t>7.5</w:t>
            </w:r>
            <w:r>
              <w:rPr>
                <w:rFonts w:hint="eastAsia" w:ascii="宋体" w:hAnsi="宋体" w:cs="宋体"/>
                <w:color w:val="FF0000"/>
                <w:spacing w:val="0"/>
                <w:kern w:val="2"/>
                <w:sz w:val="21"/>
                <w:szCs w:val="21"/>
              </w:rPr>
              <w:t>分，同一体系不重复计分。投标人须提供有效证书扫描件；证书应可在国家认证认可监督管理委员会相关平台查询。证书持有人须为投标人，证书在评审时处于有效状态；未提供、证书无效、认证范围与本项目服务无关或无法核验的，不得分。</w:t>
            </w:r>
          </w:p>
        </w:tc>
        <w:tc>
          <w:tcPr>
            <w:tcW w:w="483" w:type="pct"/>
            <w:tcBorders>
              <w:right w:val="single" w:color="auto" w:sz="4" w:space="0"/>
            </w:tcBorders>
            <w:shd w:val="clear" w:color="auto" w:fill="auto"/>
            <w:vAlign w:val="center"/>
          </w:tcPr>
          <w:p w14:paraId="646674FF">
            <w:pPr>
              <w:wordWrap w:val="0"/>
              <w:jc w:val="center"/>
              <w:rPr>
                <w:rFonts w:ascii="宋体" w:hAnsi="宋体" w:cs="宋体"/>
                <w:color w:val="FF0000"/>
                <w:szCs w:val="21"/>
              </w:rPr>
            </w:pPr>
            <w:r>
              <w:rPr>
                <w:rFonts w:ascii="宋体" w:hAnsi="宋体" w:cs="宋体"/>
                <w:color w:val="FF0000"/>
                <w:szCs w:val="21"/>
              </w:rPr>
              <w:t>7.5%</w:t>
            </w:r>
          </w:p>
        </w:tc>
        <w:tc>
          <w:tcPr>
            <w:tcW w:w="387" w:type="pct"/>
            <w:tcBorders>
              <w:left w:val="single" w:color="auto" w:sz="4" w:space="0"/>
            </w:tcBorders>
            <w:shd w:val="clear" w:color="auto" w:fill="auto"/>
            <w:vAlign w:val="center"/>
          </w:tcPr>
          <w:p w14:paraId="49A34017">
            <w:pPr>
              <w:ind w:left="-78" w:leftChars="-37" w:right="-73" w:rightChars="-35"/>
              <w:jc w:val="center"/>
              <w:rPr>
                <w:rFonts w:ascii="宋体" w:hAnsi="宋体" w:cs="宋体"/>
                <w:color w:val="FF0000"/>
                <w:szCs w:val="21"/>
              </w:rPr>
            </w:pPr>
            <w:r>
              <w:rPr>
                <w:rFonts w:ascii="宋体" w:hAnsi="宋体" w:cs="宋体"/>
                <w:color w:val="FF0000"/>
                <w:szCs w:val="21"/>
              </w:rPr>
              <w:t>7.5</w:t>
            </w:r>
            <w:r>
              <w:rPr>
                <w:rFonts w:hint="eastAsia" w:ascii="宋体" w:hAnsi="宋体" w:cs="宋体"/>
                <w:color w:val="FF0000"/>
                <w:szCs w:val="21"/>
              </w:rPr>
              <w:t>分</w:t>
            </w:r>
          </w:p>
        </w:tc>
      </w:tr>
      <w:tr w14:paraId="63430E6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883" w:hRule="atLeast"/>
        </w:trPr>
        <w:tc>
          <w:tcPr>
            <w:tcW w:w="351" w:type="pct"/>
            <w:tcBorders>
              <w:top w:val="single" w:color="auto" w:sz="4" w:space="0"/>
            </w:tcBorders>
            <w:vAlign w:val="center"/>
          </w:tcPr>
          <w:p w14:paraId="6C3717B6">
            <w:pPr>
              <w:pStyle w:val="42"/>
              <w:numPr>
                <w:ilvl w:val="0"/>
                <w:numId w:val="6"/>
              </w:numPr>
              <w:ind w:firstLineChars="0"/>
              <w:jc w:val="center"/>
              <w:rPr>
                <w:rFonts w:ascii="宋体" w:hAnsi="宋体" w:cs="宋体"/>
                <w:szCs w:val="21"/>
              </w:rPr>
            </w:pPr>
          </w:p>
        </w:tc>
        <w:tc>
          <w:tcPr>
            <w:tcW w:w="720" w:type="pct"/>
            <w:vAlign w:val="center"/>
          </w:tcPr>
          <w:p w14:paraId="67FDD077">
            <w:pPr>
              <w:jc w:val="center"/>
              <w:rPr>
                <w:rFonts w:ascii="宋体" w:hAnsi="宋体" w:cs="宋体"/>
                <w:bCs/>
                <w:szCs w:val="21"/>
              </w:rPr>
            </w:pPr>
            <w:r>
              <w:rPr>
                <w:rFonts w:hint="eastAsia" w:ascii="宋体" w:hAnsi="宋体" w:cs="宋体"/>
                <w:szCs w:val="21"/>
              </w:rPr>
              <w:t>诚信</w:t>
            </w:r>
          </w:p>
        </w:tc>
        <w:tc>
          <w:tcPr>
            <w:tcW w:w="3059" w:type="pct"/>
            <w:vAlign w:val="center"/>
          </w:tcPr>
          <w:p w14:paraId="145AA119">
            <w:pPr>
              <w:wordWrap w:val="0"/>
              <w:rPr>
                <w:rFonts w:ascii="宋体" w:hAnsi="宋体" w:cs="宋体"/>
                <w:szCs w:val="21"/>
              </w:rPr>
            </w:pPr>
            <w:r>
              <w:rPr>
                <w:rFonts w:hint="eastAsia" w:ascii="宋体" w:hAnsi="宋体" w:cs="宋体"/>
                <w:szCs w:val="21"/>
              </w:rPr>
              <w:t>投标人存在《深圳市财政局政府采购供应商信用信息管理办法》（深财规〔2023〕3号）列明的一般行政处罚信息、一般违法失信记录信息的，本项不得分，不存在上述情形的本项得5分。投标人无需提供任何证明材料，评标过程中由工作人员向评审委员会提供有关供应商诚信查询结果。</w:t>
            </w:r>
          </w:p>
          <w:p w14:paraId="353A4A03">
            <w:pPr>
              <w:spacing w:line="360" w:lineRule="exact"/>
              <w:jc w:val="left"/>
              <w:rPr>
                <w:rFonts w:ascii="宋体" w:hAnsi="宋体" w:cs="宋体"/>
                <w:szCs w:val="21"/>
              </w:rPr>
            </w:pPr>
            <w:r>
              <w:rPr>
                <w:rFonts w:hint="eastAsia" w:ascii="宋体" w:hAnsi="宋体" w:cs="宋体"/>
                <w:szCs w:val="21"/>
              </w:rPr>
              <w:t>查询渠道：通过“信用中国”（www.creditchina.gov.cn，下载信用信息报告）、“中国政府采购网”（www.ccgp.gov.cn）</w:t>
            </w:r>
            <w:r>
              <w:rPr>
                <w:rFonts w:hint="eastAsia" w:ascii="宋体" w:hAnsi="宋体" w:cs="宋体"/>
                <w:szCs w:val="21"/>
                <w:lang w:eastAsia="zh-CN"/>
              </w:rPr>
              <w:t>，以及</w:t>
            </w:r>
            <w:r>
              <w:rPr>
                <w:rFonts w:hint="eastAsia" w:ascii="宋体" w:hAnsi="宋体" w:cs="宋体"/>
                <w:szCs w:val="21"/>
              </w:rPr>
              <w:t>“深圳市政府采购监管网”（http://zfcg.sz.gov.cn）查询供应商信用信息，信用信息以开标当日的查询结果为准。</w:t>
            </w:r>
          </w:p>
        </w:tc>
        <w:tc>
          <w:tcPr>
            <w:tcW w:w="483" w:type="pct"/>
            <w:tcBorders>
              <w:right w:val="single" w:color="auto" w:sz="4" w:space="0"/>
            </w:tcBorders>
            <w:vAlign w:val="center"/>
          </w:tcPr>
          <w:p w14:paraId="16D97C39">
            <w:pPr>
              <w:ind w:left="-78" w:leftChars="-37" w:right="-73" w:rightChars="-35"/>
              <w:jc w:val="center"/>
              <w:rPr>
                <w:rFonts w:ascii="宋体" w:hAnsi="宋体" w:cs="宋体"/>
                <w:szCs w:val="21"/>
              </w:rPr>
            </w:pPr>
            <w:r>
              <w:rPr>
                <w:rFonts w:hint="eastAsia" w:ascii="宋体" w:hAnsi="宋体" w:cs="宋体"/>
                <w:szCs w:val="21"/>
              </w:rPr>
              <w:t>5%</w:t>
            </w:r>
          </w:p>
        </w:tc>
        <w:tc>
          <w:tcPr>
            <w:tcW w:w="387" w:type="pct"/>
            <w:tcBorders>
              <w:left w:val="single" w:color="auto" w:sz="4" w:space="0"/>
            </w:tcBorders>
            <w:vAlign w:val="center"/>
          </w:tcPr>
          <w:p w14:paraId="7FE0D461">
            <w:pPr>
              <w:ind w:left="-78" w:leftChars="-37" w:right="-73" w:rightChars="-35"/>
              <w:jc w:val="center"/>
              <w:rPr>
                <w:rFonts w:ascii="宋体" w:hAnsi="宋体" w:cs="宋体"/>
                <w:szCs w:val="21"/>
              </w:rPr>
            </w:pPr>
            <w:r>
              <w:rPr>
                <w:rFonts w:hint="eastAsia" w:ascii="宋体" w:hAnsi="宋体" w:cs="宋体"/>
                <w:szCs w:val="21"/>
              </w:rPr>
              <w:t>5分</w:t>
            </w:r>
          </w:p>
        </w:tc>
      </w:tr>
      <w:tr w14:paraId="27CE4F0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47" w:hRule="atLeast"/>
        </w:trPr>
        <w:tc>
          <w:tcPr>
            <w:tcW w:w="351" w:type="pct"/>
            <w:tcBorders>
              <w:top w:val="single" w:color="auto" w:sz="4" w:space="0"/>
            </w:tcBorders>
            <w:vAlign w:val="center"/>
          </w:tcPr>
          <w:p w14:paraId="29A450B8">
            <w:pPr>
              <w:jc w:val="center"/>
              <w:rPr>
                <w:rFonts w:ascii="宋体" w:hAnsi="宋体" w:cs="宋体"/>
                <w:b/>
                <w:szCs w:val="21"/>
              </w:rPr>
            </w:pPr>
            <w:r>
              <w:rPr>
                <w:rFonts w:hint="eastAsia" w:ascii="宋体" w:hAnsi="宋体" w:cs="宋体"/>
                <w:b/>
                <w:szCs w:val="21"/>
              </w:rPr>
              <w:t>三</w:t>
            </w:r>
          </w:p>
        </w:tc>
        <w:tc>
          <w:tcPr>
            <w:tcW w:w="4649" w:type="pct"/>
            <w:gridSpan w:val="4"/>
            <w:vAlign w:val="center"/>
          </w:tcPr>
          <w:p w14:paraId="7D3FE844">
            <w:pPr>
              <w:ind w:left="-78" w:leftChars="-37" w:right="-73" w:rightChars="-35"/>
              <w:jc w:val="center"/>
              <w:rPr>
                <w:rFonts w:ascii="宋体" w:hAnsi="宋体" w:cs="宋体"/>
                <w:b/>
                <w:szCs w:val="21"/>
              </w:rPr>
            </w:pPr>
            <w:r>
              <w:rPr>
                <w:rFonts w:hint="eastAsia" w:ascii="宋体" w:hAnsi="宋体" w:cs="宋体"/>
                <w:b/>
                <w:szCs w:val="21"/>
              </w:rPr>
              <w:t>价格部分（30分）</w:t>
            </w:r>
          </w:p>
        </w:tc>
      </w:tr>
      <w:tr w14:paraId="7418CC6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52" w:hRule="atLeast"/>
        </w:trPr>
        <w:tc>
          <w:tcPr>
            <w:tcW w:w="351" w:type="pct"/>
            <w:vAlign w:val="center"/>
          </w:tcPr>
          <w:p w14:paraId="425DE3F1">
            <w:pPr>
              <w:jc w:val="center"/>
              <w:rPr>
                <w:rFonts w:ascii="宋体" w:hAnsi="宋体" w:cs="宋体"/>
                <w:szCs w:val="21"/>
              </w:rPr>
            </w:pPr>
            <w:r>
              <w:rPr>
                <w:rFonts w:hint="eastAsia" w:ascii="宋体" w:hAnsi="宋体" w:cs="宋体"/>
                <w:szCs w:val="21"/>
              </w:rPr>
              <w:t>1</w:t>
            </w:r>
          </w:p>
        </w:tc>
        <w:tc>
          <w:tcPr>
            <w:tcW w:w="720" w:type="pct"/>
            <w:vAlign w:val="center"/>
          </w:tcPr>
          <w:p w14:paraId="0667ADFD">
            <w:pPr>
              <w:jc w:val="center"/>
              <w:rPr>
                <w:rFonts w:ascii="宋体" w:hAnsi="宋体" w:cs="宋体"/>
                <w:szCs w:val="21"/>
              </w:rPr>
            </w:pPr>
            <w:r>
              <w:rPr>
                <w:rFonts w:hint="eastAsia" w:ascii="宋体" w:hAnsi="宋体" w:cs="宋体"/>
                <w:szCs w:val="21"/>
              </w:rPr>
              <w:t>投标报价</w:t>
            </w:r>
          </w:p>
        </w:tc>
        <w:tc>
          <w:tcPr>
            <w:tcW w:w="3059" w:type="pct"/>
            <w:vAlign w:val="center"/>
          </w:tcPr>
          <w:p w14:paraId="44BA8E64">
            <w:pPr>
              <w:autoSpaceDE w:val="0"/>
              <w:autoSpaceDN w:val="0"/>
              <w:adjustRightInd w:val="0"/>
              <w:snapToGrid w:val="0"/>
              <w:rPr>
                <w:rFonts w:ascii="宋体" w:hAnsi="宋体" w:cs="宋体"/>
                <w:kern w:val="0"/>
                <w:szCs w:val="21"/>
              </w:rPr>
            </w:pPr>
            <w:r>
              <w:rPr>
                <w:rFonts w:hint="eastAsia" w:ascii="宋体" w:hAnsi="宋体" w:cs="宋体"/>
                <w:kern w:val="0"/>
                <w:szCs w:val="21"/>
              </w:rPr>
              <w:t>价格分应当采用低价优先法计算，即满足招标文件要求且投标价格最低的投标报价为评标基准价，其价格分为满分。其他投标人的价格分统一按照下列公式计算：</w:t>
            </w:r>
          </w:p>
          <w:p w14:paraId="21B2B6FB">
            <w:pPr>
              <w:widowControl/>
              <w:jc w:val="left"/>
              <w:rPr>
                <w:rFonts w:ascii="宋体" w:hAnsi="宋体" w:cs="宋体"/>
                <w:kern w:val="0"/>
                <w:szCs w:val="21"/>
              </w:rPr>
            </w:pPr>
            <w:r>
              <w:rPr>
                <w:rFonts w:hint="eastAsia" w:ascii="宋体" w:hAnsi="宋体" w:cs="宋体"/>
                <w:kern w:val="0"/>
                <w:szCs w:val="21"/>
              </w:rPr>
              <w:t>投标报价得分=</w:t>
            </w:r>
            <w:r>
              <w:rPr>
                <w:rFonts w:hint="eastAsia" w:ascii="宋体" w:hAnsi="宋体" w:cs="宋体"/>
                <w:kern w:val="0"/>
                <w:szCs w:val="21"/>
                <w:lang w:eastAsia="zh-CN"/>
              </w:rPr>
              <w:t>（</w:t>
            </w:r>
            <w:r>
              <w:rPr>
                <w:rFonts w:hint="eastAsia" w:ascii="宋体" w:hAnsi="宋体" w:cs="宋体"/>
                <w:kern w:val="0"/>
                <w:szCs w:val="21"/>
              </w:rPr>
              <w:t>评标基准价／投标报价</w:t>
            </w:r>
            <w:r>
              <w:rPr>
                <w:rFonts w:hint="eastAsia" w:ascii="宋体" w:hAnsi="宋体" w:cs="宋体"/>
                <w:kern w:val="0"/>
                <w:szCs w:val="21"/>
                <w:lang w:eastAsia="zh-CN"/>
              </w:rPr>
              <w:t>）</w:t>
            </w:r>
            <w:r>
              <w:rPr>
                <w:rFonts w:hint="eastAsia" w:ascii="宋体" w:hAnsi="宋体" w:cs="宋体"/>
                <w:kern w:val="0"/>
                <w:szCs w:val="21"/>
              </w:rPr>
              <w:t>×100×权重</w:t>
            </w:r>
          </w:p>
          <w:p w14:paraId="0B6DEF0F">
            <w:pPr>
              <w:widowControl/>
              <w:jc w:val="left"/>
              <w:rPr>
                <w:rFonts w:ascii="宋体" w:hAnsi="宋体" w:cs="宋体"/>
                <w:bCs/>
                <w:szCs w:val="21"/>
              </w:rPr>
            </w:pPr>
            <w:r>
              <w:rPr>
                <w:rFonts w:hint="eastAsia" w:ascii="宋体" w:hAnsi="宋体" w:cs="宋体"/>
                <w:bCs/>
                <w:szCs w:val="21"/>
              </w:rPr>
              <w:t>备注：</w:t>
            </w:r>
          </w:p>
          <w:p w14:paraId="58616E80">
            <w:pPr>
              <w:widowControl/>
              <w:jc w:val="left"/>
              <w:rPr>
                <w:rFonts w:ascii="宋体" w:hAnsi="宋体" w:cs="宋体"/>
                <w:bCs/>
                <w:szCs w:val="21"/>
              </w:rPr>
            </w:pPr>
            <w:r>
              <w:rPr>
                <w:rFonts w:hint="eastAsia" w:ascii="宋体" w:hAnsi="宋体" w:cs="宋体"/>
                <w:bCs/>
                <w:szCs w:val="21"/>
                <w:lang w:eastAsia="zh-CN"/>
              </w:rPr>
              <w:t>1.</w:t>
            </w:r>
            <w:r>
              <w:rPr>
                <w:rFonts w:hint="eastAsia" w:ascii="宋体" w:hAnsi="宋体" w:cs="宋体"/>
                <w:bCs/>
                <w:szCs w:val="21"/>
              </w:rPr>
              <w:t>投标报价得分四舍五入后，</w:t>
            </w:r>
            <w:r>
              <w:rPr>
                <w:rFonts w:hint="eastAsia" w:ascii="宋体" w:hAnsi="宋体" w:cs="宋体"/>
                <w:szCs w:val="21"/>
              </w:rPr>
              <w:t>小数点后保留两位有效数</w:t>
            </w:r>
            <w:r>
              <w:rPr>
                <w:rFonts w:hint="eastAsia" w:ascii="宋体" w:hAnsi="宋体" w:cs="宋体"/>
                <w:bCs/>
                <w:szCs w:val="21"/>
              </w:rPr>
              <w:t>。</w:t>
            </w:r>
          </w:p>
          <w:p w14:paraId="614662CB">
            <w:pPr>
              <w:rPr>
                <w:rFonts w:ascii="宋体" w:hAnsi="宋体" w:cs="宋体"/>
                <w:szCs w:val="21"/>
              </w:rPr>
            </w:pPr>
            <w:r>
              <w:rPr>
                <w:rFonts w:hint="eastAsia" w:ascii="宋体" w:hAnsi="宋体" w:cs="宋体"/>
                <w:szCs w:val="21"/>
                <w:lang w:eastAsia="zh-CN"/>
              </w:rPr>
              <w:t>2.</w:t>
            </w:r>
            <w:r>
              <w:rPr>
                <w:rFonts w:hint="eastAsia" w:ascii="宋体" w:hAnsi="宋体" w:cs="宋体"/>
                <w:szCs w:val="21"/>
              </w:rPr>
              <w:t>因落实政府采购政策进行价格调整的，以调整后的价格计算评标基准价和投标报价</w:t>
            </w:r>
            <w:r>
              <w:rPr>
                <w:rFonts w:hint="eastAsia" w:ascii="宋体" w:hAnsi="宋体" w:cs="宋体"/>
                <w:szCs w:val="21"/>
                <w:lang w:eastAsia="zh-CN"/>
              </w:rPr>
              <w:t>，</w:t>
            </w:r>
            <w:r>
              <w:rPr>
                <w:rFonts w:hint="eastAsia" w:ascii="宋体" w:hAnsi="宋体" w:cs="宋体"/>
                <w:szCs w:val="21"/>
              </w:rPr>
              <w:t>详见《价格扣除》。</w:t>
            </w:r>
          </w:p>
          <w:p w14:paraId="4F5F41E9">
            <w:pPr>
              <w:rPr>
                <w:rFonts w:ascii="宋体" w:hAnsi="宋体" w:cs="宋体"/>
                <w:szCs w:val="21"/>
              </w:rPr>
            </w:pPr>
            <w:r>
              <w:rPr>
                <w:rFonts w:hint="eastAsia" w:ascii="宋体" w:hAnsi="宋体" w:cs="宋体"/>
                <w:szCs w:val="21"/>
                <w:lang w:eastAsia="zh-CN"/>
              </w:rPr>
              <w:t>3.</w:t>
            </w:r>
            <w:r>
              <w:rPr>
                <w:rFonts w:hint="eastAsia" w:ascii="宋体" w:hAnsi="宋体" w:cs="宋体"/>
                <w:szCs w:val="21"/>
              </w:rPr>
              <w:t>评审中出现下列情形之一的，供应商应当在评审现场合理的时间内作出书面说明并提供成本构成资料，对投标（响应）价格作出解释，书面说明、成本构成资料主要是项目具体成本测算等与报价合理性相关的说明、材料，如果投标（响应）供应商不提供书面说明及成本构成，或者提供的书面说明及成本构成不能证明其报价合理性的，应当将其作为无效投标（响应）处理：</w:t>
            </w:r>
          </w:p>
          <w:p w14:paraId="7C7EFE97">
            <w:pPr>
              <w:rPr>
                <w:rFonts w:ascii="宋体" w:hAnsi="宋体" w:cs="宋体"/>
                <w:szCs w:val="21"/>
              </w:rPr>
            </w:pPr>
            <w:r>
              <w:rPr>
                <w:rFonts w:hint="eastAsia" w:ascii="宋体" w:hAnsi="宋体" w:cs="宋体"/>
                <w:szCs w:val="21"/>
              </w:rPr>
              <w:t>3.1、投标（响应）报价低于全部通过符合性审查供应商投标（响应）报价平均值50%的，即投标（响应）报价</w:t>
            </w:r>
            <w:r>
              <w:rPr>
                <w:rFonts w:hint="eastAsia" w:ascii="宋体" w:hAnsi="宋体" w:cs="宋体"/>
                <w:szCs w:val="21"/>
                <w:lang w:eastAsia="zh-CN"/>
              </w:rPr>
              <w:t>〈</w:t>
            </w:r>
            <w:r>
              <w:rPr>
                <w:rFonts w:hint="eastAsia" w:ascii="宋体" w:hAnsi="宋体" w:cs="宋体"/>
                <w:szCs w:val="21"/>
              </w:rPr>
              <w:t>全部通过符合性审查供应商投标（响应）报价平均值×50%；</w:t>
            </w:r>
          </w:p>
          <w:p w14:paraId="7232A013">
            <w:pPr>
              <w:rPr>
                <w:rFonts w:ascii="宋体" w:hAnsi="宋体" w:cs="宋体"/>
                <w:szCs w:val="21"/>
              </w:rPr>
            </w:pPr>
            <w:r>
              <w:rPr>
                <w:rFonts w:hint="eastAsia" w:ascii="宋体" w:hAnsi="宋体" w:cs="宋体"/>
                <w:szCs w:val="21"/>
              </w:rPr>
              <w:t>3.2、投标（响应）报价低于通过符合性审查且报价次低供应商投标（响应）报价50%的，即投标（响应）报价</w:t>
            </w:r>
            <w:r>
              <w:rPr>
                <w:rFonts w:hint="eastAsia" w:ascii="宋体" w:hAnsi="宋体" w:cs="宋体"/>
                <w:szCs w:val="21"/>
                <w:lang w:eastAsia="zh-CN"/>
              </w:rPr>
              <w:t>〈</w:t>
            </w:r>
            <w:r>
              <w:rPr>
                <w:rFonts w:hint="eastAsia" w:ascii="宋体" w:hAnsi="宋体" w:cs="宋体"/>
                <w:szCs w:val="21"/>
              </w:rPr>
              <w:t>通过符合性审查且报价次低供应商投标（响应）报价×50%；</w:t>
            </w:r>
          </w:p>
          <w:p w14:paraId="4D402640">
            <w:pPr>
              <w:rPr>
                <w:rFonts w:ascii="宋体" w:hAnsi="宋体" w:cs="宋体"/>
                <w:szCs w:val="21"/>
              </w:rPr>
            </w:pPr>
            <w:r>
              <w:rPr>
                <w:rFonts w:hint="eastAsia" w:ascii="宋体" w:hAnsi="宋体" w:cs="宋体"/>
                <w:szCs w:val="21"/>
              </w:rPr>
              <w:t>3.3、投标（响应）报价低于采购项目最高限价45%的，即投标（响应）报价</w:t>
            </w:r>
            <w:r>
              <w:rPr>
                <w:rFonts w:hint="eastAsia" w:ascii="宋体" w:hAnsi="宋体" w:cs="宋体"/>
                <w:szCs w:val="21"/>
                <w:lang w:eastAsia="zh-CN"/>
              </w:rPr>
              <w:t>〈</w:t>
            </w:r>
            <w:r>
              <w:rPr>
                <w:rFonts w:hint="eastAsia" w:ascii="宋体" w:hAnsi="宋体" w:cs="宋体"/>
                <w:szCs w:val="21"/>
              </w:rPr>
              <w:t>采购项目最高限价×45%；</w:t>
            </w:r>
          </w:p>
          <w:p w14:paraId="14BD8383">
            <w:pPr>
              <w:rPr>
                <w:rFonts w:ascii="宋体" w:hAnsi="宋体" w:cs="宋体"/>
                <w:b/>
                <w:bCs/>
                <w:szCs w:val="21"/>
                <w:u w:val="double"/>
              </w:rPr>
            </w:pPr>
            <w:r>
              <w:rPr>
                <w:rFonts w:hint="eastAsia" w:ascii="宋体" w:hAnsi="宋体" w:cs="宋体"/>
                <w:szCs w:val="21"/>
              </w:rPr>
              <w:t>3.4、其他评审委员会认为供应商报价过低，有可能影响产品质量或者不能诚信履约的情形。</w:t>
            </w:r>
          </w:p>
        </w:tc>
        <w:tc>
          <w:tcPr>
            <w:tcW w:w="483" w:type="pct"/>
            <w:tcBorders>
              <w:right w:val="single" w:color="auto" w:sz="4" w:space="0"/>
            </w:tcBorders>
            <w:vAlign w:val="center"/>
          </w:tcPr>
          <w:p w14:paraId="5948E36C">
            <w:pPr>
              <w:ind w:left="-78" w:leftChars="-37" w:right="-73" w:rightChars="-35"/>
              <w:jc w:val="center"/>
              <w:rPr>
                <w:rFonts w:ascii="宋体" w:hAnsi="宋体" w:cs="宋体"/>
                <w:szCs w:val="21"/>
              </w:rPr>
            </w:pPr>
            <w:r>
              <w:rPr>
                <w:rFonts w:hint="eastAsia" w:ascii="宋体" w:hAnsi="宋体" w:cs="宋体"/>
                <w:szCs w:val="21"/>
              </w:rPr>
              <w:t xml:space="preserve">30% </w:t>
            </w:r>
          </w:p>
        </w:tc>
        <w:tc>
          <w:tcPr>
            <w:tcW w:w="387" w:type="pct"/>
            <w:tcBorders>
              <w:left w:val="single" w:color="auto" w:sz="4" w:space="0"/>
            </w:tcBorders>
            <w:vAlign w:val="center"/>
          </w:tcPr>
          <w:p w14:paraId="47E399DB">
            <w:pPr>
              <w:ind w:left="-78" w:leftChars="-37" w:right="-73" w:rightChars="-35"/>
              <w:jc w:val="center"/>
              <w:rPr>
                <w:rFonts w:ascii="宋体" w:hAnsi="宋体" w:cs="宋体"/>
                <w:szCs w:val="21"/>
              </w:rPr>
            </w:pPr>
            <w:r>
              <w:rPr>
                <w:rFonts w:hint="eastAsia" w:ascii="宋体" w:hAnsi="宋体" w:cs="宋体"/>
                <w:szCs w:val="21"/>
              </w:rPr>
              <w:t>30分</w:t>
            </w:r>
          </w:p>
        </w:tc>
      </w:tr>
      <w:tr w14:paraId="62EC5BC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23" w:hRule="atLeast"/>
        </w:trPr>
        <w:tc>
          <w:tcPr>
            <w:tcW w:w="4130" w:type="pct"/>
            <w:gridSpan w:val="3"/>
            <w:vAlign w:val="center"/>
          </w:tcPr>
          <w:p w14:paraId="3476E0FC">
            <w:pPr>
              <w:ind w:left="-78" w:leftChars="-37" w:right="-73" w:rightChars="-35"/>
              <w:jc w:val="center"/>
              <w:rPr>
                <w:rFonts w:ascii="宋体" w:hAnsi="宋体" w:cs="宋体"/>
                <w:szCs w:val="21"/>
              </w:rPr>
            </w:pPr>
            <w:r>
              <w:rPr>
                <w:rFonts w:hint="eastAsia" w:ascii="宋体" w:hAnsi="宋体" w:cs="宋体"/>
                <w:szCs w:val="21"/>
              </w:rPr>
              <w:t>合计</w:t>
            </w:r>
          </w:p>
        </w:tc>
        <w:tc>
          <w:tcPr>
            <w:tcW w:w="483" w:type="pct"/>
            <w:tcBorders>
              <w:right w:val="single" w:color="auto" w:sz="4" w:space="0"/>
            </w:tcBorders>
            <w:vAlign w:val="center"/>
          </w:tcPr>
          <w:p w14:paraId="5A2C7334">
            <w:pPr>
              <w:ind w:left="-78" w:leftChars="-37" w:right="-73" w:rightChars="-35"/>
              <w:jc w:val="center"/>
              <w:rPr>
                <w:rFonts w:ascii="宋体" w:hAnsi="宋体" w:cs="宋体"/>
                <w:szCs w:val="21"/>
              </w:rPr>
            </w:pPr>
            <w:r>
              <w:rPr>
                <w:rFonts w:hint="eastAsia" w:ascii="宋体" w:hAnsi="宋体" w:cs="宋体"/>
                <w:szCs w:val="21"/>
              </w:rPr>
              <w:t>100%</w:t>
            </w:r>
          </w:p>
        </w:tc>
        <w:tc>
          <w:tcPr>
            <w:tcW w:w="387" w:type="pct"/>
            <w:tcBorders>
              <w:left w:val="single" w:color="auto" w:sz="4" w:space="0"/>
            </w:tcBorders>
            <w:vAlign w:val="center"/>
          </w:tcPr>
          <w:p w14:paraId="1CF28D02">
            <w:pPr>
              <w:ind w:left="-78" w:leftChars="-37" w:right="-73" w:rightChars="-35"/>
              <w:jc w:val="center"/>
              <w:rPr>
                <w:rFonts w:ascii="宋体" w:hAnsi="宋体" w:cs="宋体"/>
                <w:szCs w:val="21"/>
              </w:rPr>
            </w:pPr>
            <w:r>
              <w:rPr>
                <w:rFonts w:hint="eastAsia" w:ascii="宋体" w:hAnsi="宋体" w:cs="宋体"/>
                <w:szCs w:val="21"/>
              </w:rPr>
              <w:t>100分</w:t>
            </w:r>
          </w:p>
        </w:tc>
      </w:tr>
    </w:tbl>
    <w:p w14:paraId="52D8A703">
      <w:pPr>
        <w:spacing w:line="360" w:lineRule="auto"/>
        <w:rPr>
          <w:rFonts w:ascii="宋体" w:hAnsi="宋体" w:cs="宋体"/>
          <w:b/>
          <w:bCs/>
          <w:szCs w:val="21"/>
        </w:rPr>
      </w:pPr>
    </w:p>
    <w:p w14:paraId="64CC4F56">
      <w:pPr>
        <w:numPr>
          <w:ilvl w:val="0"/>
          <w:numId w:val="2"/>
        </w:numPr>
        <w:spacing w:line="360" w:lineRule="auto"/>
        <w:ind w:firstLine="422" w:firstLineChars="200"/>
        <w:rPr>
          <w:rFonts w:ascii="宋体" w:hAnsi="宋体" w:cs="宋体"/>
          <w:b/>
          <w:bCs/>
          <w:szCs w:val="21"/>
        </w:rPr>
      </w:pPr>
      <w:r>
        <w:rPr>
          <w:rFonts w:hint="eastAsia" w:ascii="宋体" w:hAnsi="宋体" w:cs="宋体"/>
          <w:b/>
          <w:bCs/>
          <w:szCs w:val="21"/>
        </w:rPr>
        <w:t>项目服务及技术要求</w:t>
      </w:r>
    </w:p>
    <w:p w14:paraId="0D0C9387">
      <w:pPr>
        <w:spacing w:line="360" w:lineRule="auto"/>
        <w:ind w:firstLine="422" w:firstLineChars="200"/>
        <w:rPr>
          <w:rFonts w:ascii="宋体" w:hAnsi="宋体" w:cs="宋体"/>
          <w:szCs w:val="21"/>
        </w:rPr>
      </w:pPr>
      <w:r>
        <w:rPr>
          <w:rFonts w:hint="eastAsia" w:ascii="宋体" w:hAnsi="宋体" w:cs="宋体"/>
          <w:b/>
          <w:szCs w:val="21"/>
        </w:rPr>
        <w:t>说明：带“★”指标项为关键指标，如出现负偏离，将被视为未实质性满足招标文件要求作投标无效处理。带“▲”指标项为重要参数，负偏离时依据相关评分准则内容作重点扣分处理。</w:t>
      </w:r>
    </w:p>
    <w:p w14:paraId="36844A21">
      <w:pPr>
        <w:spacing w:line="400" w:lineRule="exact"/>
        <w:ind w:firstLine="422" w:firstLineChars="200"/>
        <w:rPr>
          <w:rFonts w:ascii="宋体" w:hAnsi="宋体" w:cs="宋体"/>
          <w:b/>
          <w:bCs/>
          <w:szCs w:val="21"/>
        </w:rPr>
      </w:pPr>
      <w:r>
        <w:rPr>
          <w:rFonts w:hint="eastAsia" w:ascii="宋体" w:hAnsi="宋体" w:cs="宋体"/>
          <w:b/>
          <w:bCs/>
          <w:szCs w:val="21"/>
        </w:rPr>
        <w:t>（一）服务内容</w:t>
      </w:r>
    </w:p>
    <w:p w14:paraId="0C1CB4A6">
      <w:pPr>
        <w:numPr>
          <w:ilvl w:val="0"/>
          <w:numId w:val="8"/>
        </w:numPr>
        <w:spacing w:line="360" w:lineRule="auto"/>
        <w:ind w:firstLine="420" w:firstLineChars="200"/>
        <w:rPr>
          <w:rFonts w:ascii="宋体" w:hAnsi="宋体" w:cs="宋体"/>
          <w:szCs w:val="21"/>
        </w:rPr>
      </w:pPr>
      <w:r>
        <w:rPr>
          <w:rFonts w:hint="eastAsia" w:ascii="宋体" w:hAnsi="宋体" w:cs="宋体"/>
          <w:kern w:val="0"/>
          <w:szCs w:val="21"/>
        </w:rPr>
        <w:t>农林院区</w:t>
      </w:r>
      <w:r>
        <w:rPr>
          <w:rFonts w:hint="eastAsia" w:ascii="宋体" w:hAnsi="宋体" w:cs="宋体"/>
          <w:szCs w:val="21"/>
        </w:rPr>
        <w:t>、福民院区院本部处理污水。</w:t>
      </w:r>
    </w:p>
    <w:p w14:paraId="444B03EB">
      <w:pPr>
        <w:numPr>
          <w:ilvl w:val="0"/>
          <w:numId w:val="8"/>
        </w:numPr>
        <w:spacing w:line="360" w:lineRule="auto"/>
        <w:ind w:firstLine="420" w:firstLineChars="200"/>
        <w:rPr>
          <w:rFonts w:ascii="宋体" w:hAnsi="宋体" w:cs="宋体"/>
          <w:szCs w:val="21"/>
        </w:rPr>
      </w:pPr>
      <w:r>
        <w:rPr>
          <w:rFonts w:hint="eastAsia" w:ascii="宋体" w:hAnsi="宋体" w:cs="宋体"/>
          <w:szCs w:val="21"/>
        </w:rPr>
        <w:t>污水：从格栅池进水口到标准排放口出口范围内的污水处理设施、设备、药剂投加等日常运行和维护。建立切实可行的设备设施维护制度、完善的售后服务体系。配合院方、生态环境部门、卫生部门的常规检测和问询；污水处理站的设备维护保养及维修工作的具体计划和实施；严格按生态环境部门、卫生部门的相关规定，负责污水处理设施的运营管理；保持污水处理站现场整洁卫生。</w:t>
      </w:r>
    </w:p>
    <w:p w14:paraId="27609015">
      <w:pPr>
        <w:numPr>
          <w:ilvl w:val="0"/>
          <w:numId w:val="8"/>
        </w:numPr>
        <w:spacing w:line="360" w:lineRule="auto"/>
        <w:ind w:firstLine="420" w:firstLineChars="200"/>
        <w:rPr>
          <w:rFonts w:ascii="宋体" w:hAnsi="宋体" w:cs="宋体"/>
          <w:szCs w:val="21"/>
        </w:rPr>
      </w:pPr>
      <w:r>
        <w:rPr>
          <w:rFonts w:hint="eastAsia" w:ascii="宋体" w:hAnsi="宋体" w:cs="宋体"/>
          <w:szCs w:val="21"/>
        </w:rPr>
        <w:t>★中标人全权负责污水处理站设备运维，包括但不限于：污水提升泵的维护、采购及应</w:t>
      </w:r>
      <w:bookmarkStart w:id="2" w:name="_GoBack"/>
      <w:bookmarkEnd w:id="2"/>
      <w:r>
        <w:rPr>
          <w:rFonts w:hint="eastAsia" w:ascii="宋体" w:hAnsi="宋体" w:cs="宋体"/>
          <w:szCs w:val="21"/>
        </w:rPr>
        <w:t>急事件处理，同时承担单价≤1000元维修配件的更换费用；当维修配件单价＞1000元时，中标人须及时向采购人申报，经采购人委托第三方造价公司核价或市场三方比价确认后，由采购人确定维修实施主体。</w:t>
      </w:r>
    </w:p>
    <w:p w14:paraId="70BF103E">
      <w:pPr>
        <w:numPr>
          <w:ilvl w:val="0"/>
          <w:numId w:val="8"/>
        </w:numPr>
        <w:spacing w:line="360" w:lineRule="auto"/>
        <w:ind w:firstLine="420" w:firstLineChars="200"/>
        <w:rPr>
          <w:rFonts w:ascii="宋体" w:hAnsi="宋体" w:cs="宋体"/>
          <w:szCs w:val="21"/>
        </w:rPr>
      </w:pPr>
      <w:r>
        <w:rPr>
          <w:rFonts w:hint="eastAsia" w:ascii="宋体" w:hAnsi="宋体" w:cs="宋体"/>
          <w:szCs w:val="21"/>
        </w:rPr>
        <w:t>档案建立和维护，包括管理制度、交接班制度、完善的项目组织结构图、操作手册、污水站平面图、污水流程图、药剂使用记录、设备维修记录、电子台账、网上申报等上级部门要求提交的报表及资料。</w:t>
      </w:r>
    </w:p>
    <w:p w14:paraId="5E5DF666">
      <w:pPr>
        <w:numPr>
          <w:ilvl w:val="0"/>
          <w:numId w:val="8"/>
        </w:numPr>
        <w:spacing w:line="360" w:lineRule="auto"/>
        <w:ind w:firstLine="420" w:firstLineChars="200"/>
        <w:rPr>
          <w:rFonts w:ascii="宋体" w:hAnsi="宋体" w:cs="宋体"/>
          <w:szCs w:val="21"/>
        </w:rPr>
      </w:pPr>
      <w:r>
        <w:rPr>
          <w:rFonts w:hint="eastAsia" w:ascii="宋体" w:hAnsi="宋体" w:cs="宋体"/>
          <w:szCs w:val="21"/>
        </w:rPr>
        <w:t>★</w:t>
      </w:r>
      <w:r>
        <w:rPr>
          <w:rFonts w:hint="eastAsia" w:ascii="宋体" w:hAnsi="宋体" w:cs="宋体"/>
          <w:kern w:val="0"/>
          <w:szCs w:val="21"/>
        </w:rPr>
        <w:t>农林院区</w:t>
      </w:r>
      <w:r>
        <w:rPr>
          <w:rFonts w:hint="eastAsia" w:ascii="宋体" w:hAnsi="宋体" w:cs="宋体"/>
          <w:szCs w:val="21"/>
        </w:rPr>
        <w:t xml:space="preserve">、福民院区污水处理设备不少于每周X次进行巡查、维护保养：定期定量投加消毒药剂，确保污水稳定达标消毒排放。 </w:t>
      </w:r>
    </w:p>
    <w:p w14:paraId="4928A7CC">
      <w:pPr>
        <w:spacing w:line="400" w:lineRule="exact"/>
        <w:ind w:firstLine="422" w:firstLineChars="200"/>
        <w:rPr>
          <w:rFonts w:ascii="宋体" w:hAnsi="宋体" w:cs="宋体"/>
          <w:b/>
          <w:bCs/>
          <w:szCs w:val="21"/>
        </w:rPr>
      </w:pPr>
      <w:r>
        <w:rPr>
          <w:rFonts w:hint="eastAsia" w:ascii="宋体" w:hAnsi="宋体" w:cs="宋体"/>
          <w:b/>
          <w:bCs/>
          <w:szCs w:val="21"/>
        </w:rPr>
        <w:t>（二）技术要求</w:t>
      </w:r>
    </w:p>
    <w:p w14:paraId="37BA1CB8">
      <w:pPr>
        <w:numPr>
          <w:ilvl w:val="0"/>
          <w:numId w:val="9"/>
        </w:numPr>
        <w:spacing w:line="360" w:lineRule="auto"/>
        <w:ind w:firstLine="420" w:firstLineChars="200"/>
        <w:rPr>
          <w:rFonts w:ascii="宋体" w:hAnsi="宋体" w:cs="宋体"/>
          <w:szCs w:val="21"/>
        </w:rPr>
      </w:pPr>
      <w:r>
        <w:rPr>
          <w:rFonts w:hint="eastAsia" w:ascii="宋体" w:hAnsi="宋体" w:cs="宋体"/>
          <w:szCs w:val="21"/>
        </w:rPr>
        <w:t>★污水：采购人运营产生的废水主要包括医疗污水与生活污水两类：生活污水经化粪池预处理后汇入自建污水处理站；医疗污水则经专用管道接入处理站，与生活污水混合处理，确保出水水质达到《医疗机构水污染物排放标准》（GB 18466-2005）规定的预处理排放限值，最终排入市政污水处理厂管网。水污染物排放浓度限值具体如下：</w:t>
      </w:r>
    </w:p>
    <w:p w14:paraId="79EC8FFD">
      <w:pPr>
        <w:adjustRightInd w:val="0"/>
        <w:snapToGrid w:val="0"/>
        <w:spacing w:line="360" w:lineRule="auto"/>
        <w:jc w:val="center"/>
        <w:rPr>
          <w:rFonts w:ascii="宋体" w:hAnsi="宋体" w:cs="宋体"/>
          <w:b/>
          <w:bCs/>
          <w:szCs w:val="21"/>
        </w:rPr>
      </w:pPr>
      <w:r>
        <w:rPr>
          <w:rFonts w:hint="eastAsia" w:ascii="宋体" w:hAnsi="宋体" w:cs="宋体"/>
          <w:b/>
          <w:bCs/>
          <w:szCs w:val="21"/>
        </w:rPr>
        <w:t>表1  水污染物排放浓度限值</w:t>
      </w:r>
    </w:p>
    <w:tbl>
      <w:tblPr>
        <w:tblStyle w:val="18"/>
        <w:tblW w:w="483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3"/>
        <w:gridCol w:w="3362"/>
        <w:gridCol w:w="1407"/>
        <w:gridCol w:w="1694"/>
      </w:tblGrid>
      <w:tr w14:paraId="6BBA2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969" w:type="pct"/>
            <w:vMerge w:val="restart"/>
            <w:vAlign w:val="center"/>
          </w:tcPr>
          <w:p w14:paraId="035CD240">
            <w:pPr>
              <w:adjustRightInd w:val="0"/>
              <w:snapToGrid w:val="0"/>
              <w:jc w:val="center"/>
              <w:rPr>
                <w:rFonts w:ascii="宋体" w:hAnsi="宋体" w:cs="宋体"/>
                <w:b/>
                <w:bCs/>
                <w:szCs w:val="21"/>
                <w:highlight w:val="yellow"/>
              </w:rPr>
            </w:pPr>
            <w:r>
              <w:rPr>
                <w:rFonts w:hint="eastAsia" w:ascii="宋体" w:hAnsi="宋体" w:cs="宋体"/>
                <w:b/>
                <w:bCs/>
                <w:szCs w:val="21"/>
                <w:highlight w:val="yellow"/>
              </w:rPr>
              <w:t>序号</w:t>
            </w:r>
          </w:p>
        </w:tc>
        <w:tc>
          <w:tcPr>
            <w:tcW w:w="2096" w:type="pct"/>
            <w:vMerge w:val="restart"/>
            <w:vAlign w:val="center"/>
          </w:tcPr>
          <w:p w14:paraId="1AFAA61D">
            <w:pPr>
              <w:adjustRightInd w:val="0"/>
              <w:snapToGrid w:val="0"/>
              <w:jc w:val="center"/>
              <w:rPr>
                <w:rFonts w:ascii="宋体" w:hAnsi="宋体" w:cs="宋体"/>
                <w:b/>
                <w:bCs/>
                <w:szCs w:val="21"/>
                <w:highlight w:val="yellow"/>
              </w:rPr>
            </w:pPr>
            <w:r>
              <w:rPr>
                <w:rFonts w:hint="eastAsia" w:ascii="宋体" w:hAnsi="宋体" w:cs="宋体"/>
                <w:b/>
                <w:bCs/>
                <w:szCs w:val="21"/>
                <w:highlight w:val="yellow"/>
              </w:rPr>
              <w:t>污染物</w:t>
            </w:r>
          </w:p>
        </w:tc>
        <w:tc>
          <w:tcPr>
            <w:tcW w:w="877" w:type="pct"/>
            <w:vAlign w:val="center"/>
          </w:tcPr>
          <w:p w14:paraId="1CC3573E">
            <w:pPr>
              <w:adjustRightInd w:val="0"/>
              <w:snapToGrid w:val="0"/>
              <w:jc w:val="center"/>
              <w:rPr>
                <w:rFonts w:ascii="宋体" w:hAnsi="宋体" w:cs="宋体"/>
                <w:b/>
                <w:bCs/>
                <w:szCs w:val="21"/>
                <w:highlight w:val="yellow"/>
              </w:rPr>
            </w:pPr>
            <w:r>
              <w:rPr>
                <w:rFonts w:hint="eastAsia" w:ascii="宋体" w:hAnsi="宋体" w:cs="宋体"/>
                <w:b/>
                <w:bCs/>
                <w:szCs w:val="21"/>
                <w:highlight w:val="yellow"/>
              </w:rPr>
              <w:t>限值</w:t>
            </w:r>
          </w:p>
        </w:tc>
        <w:tc>
          <w:tcPr>
            <w:tcW w:w="1056" w:type="pct"/>
            <w:vMerge w:val="restart"/>
            <w:vAlign w:val="center"/>
          </w:tcPr>
          <w:p w14:paraId="0CF69B8D">
            <w:pPr>
              <w:adjustRightInd w:val="0"/>
              <w:snapToGrid w:val="0"/>
              <w:jc w:val="center"/>
              <w:rPr>
                <w:rFonts w:ascii="宋体" w:hAnsi="宋体" w:cs="宋体"/>
                <w:b/>
                <w:bCs/>
                <w:szCs w:val="21"/>
                <w:highlight w:val="yellow"/>
              </w:rPr>
            </w:pPr>
            <w:r>
              <w:rPr>
                <w:rFonts w:hint="eastAsia" w:ascii="宋体" w:hAnsi="宋体" w:cs="宋体"/>
                <w:b/>
                <w:bCs/>
                <w:szCs w:val="21"/>
                <w:highlight w:val="yellow"/>
              </w:rPr>
              <w:t>污染物排放监控位置</w:t>
            </w:r>
          </w:p>
        </w:tc>
      </w:tr>
      <w:tr w14:paraId="2545C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969" w:type="pct"/>
            <w:vMerge w:val="continue"/>
            <w:vAlign w:val="center"/>
          </w:tcPr>
          <w:p w14:paraId="5EC1BE28">
            <w:pPr>
              <w:adjustRightInd w:val="0"/>
              <w:snapToGrid w:val="0"/>
              <w:jc w:val="center"/>
              <w:rPr>
                <w:rFonts w:ascii="宋体" w:hAnsi="宋体" w:cs="宋体"/>
                <w:b/>
                <w:bCs/>
                <w:szCs w:val="21"/>
              </w:rPr>
            </w:pPr>
          </w:p>
        </w:tc>
        <w:tc>
          <w:tcPr>
            <w:tcW w:w="2096" w:type="pct"/>
            <w:vMerge w:val="continue"/>
            <w:vAlign w:val="center"/>
          </w:tcPr>
          <w:p w14:paraId="49A8DF92">
            <w:pPr>
              <w:adjustRightInd w:val="0"/>
              <w:snapToGrid w:val="0"/>
              <w:jc w:val="center"/>
              <w:rPr>
                <w:rFonts w:ascii="宋体" w:hAnsi="宋体" w:cs="宋体"/>
                <w:b/>
                <w:bCs/>
                <w:szCs w:val="21"/>
              </w:rPr>
            </w:pPr>
          </w:p>
        </w:tc>
        <w:tc>
          <w:tcPr>
            <w:tcW w:w="877" w:type="pct"/>
            <w:vAlign w:val="center"/>
          </w:tcPr>
          <w:p w14:paraId="6E95B21D">
            <w:pPr>
              <w:adjustRightInd w:val="0"/>
              <w:snapToGrid w:val="0"/>
              <w:jc w:val="center"/>
              <w:rPr>
                <w:rFonts w:ascii="宋体" w:hAnsi="宋体" w:cs="宋体"/>
                <w:b/>
                <w:bCs/>
                <w:szCs w:val="21"/>
              </w:rPr>
            </w:pPr>
            <w:r>
              <w:rPr>
                <w:rFonts w:hint="eastAsia" w:ascii="宋体" w:hAnsi="宋体" w:cs="宋体"/>
                <w:b/>
                <w:bCs/>
                <w:szCs w:val="21"/>
              </w:rPr>
              <w:t>间接排放</w:t>
            </w:r>
          </w:p>
        </w:tc>
        <w:tc>
          <w:tcPr>
            <w:tcW w:w="1056" w:type="pct"/>
            <w:vMerge w:val="continue"/>
            <w:vAlign w:val="center"/>
          </w:tcPr>
          <w:p w14:paraId="7FDEE6B6">
            <w:pPr>
              <w:adjustRightInd w:val="0"/>
              <w:snapToGrid w:val="0"/>
              <w:jc w:val="center"/>
              <w:rPr>
                <w:rFonts w:ascii="宋体" w:hAnsi="宋体" w:cs="宋体"/>
                <w:b/>
                <w:bCs/>
                <w:szCs w:val="21"/>
              </w:rPr>
            </w:pPr>
          </w:p>
        </w:tc>
      </w:tr>
      <w:tr w14:paraId="652DB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69" w:type="pct"/>
            <w:vAlign w:val="center"/>
          </w:tcPr>
          <w:p w14:paraId="021A691C">
            <w:pPr>
              <w:adjustRightInd w:val="0"/>
              <w:snapToGrid w:val="0"/>
              <w:jc w:val="center"/>
              <w:rPr>
                <w:rFonts w:ascii="宋体" w:hAnsi="宋体" w:cs="宋体"/>
                <w:b/>
                <w:bCs/>
                <w:szCs w:val="21"/>
              </w:rPr>
            </w:pPr>
            <w:r>
              <w:rPr>
                <w:rFonts w:hint="eastAsia" w:ascii="宋体" w:hAnsi="宋体" w:cs="宋体"/>
                <w:szCs w:val="21"/>
              </w:rPr>
              <w:t>1</w:t>
            </w:r>
          </w:p>
        </w:tc>
        <w:tc>
          <w:tcPr>
            <w:tcW w:w="2096" w:type="pct"/>
            <w:vAlign w:val="center"/>
          </w:tcPr>
          <w:p w14:paraId="4A3F0F38">
            <w:pPr>
              <w:adjustRightInd w:val="0"/>
              <w:snapToGrid w:val="0"/>
              <w:jc w:val="center"/>
              <w:rPr>
                <w:rFonts w:ascii="宋体" w:hAnsi="宋体" w:cs="宋体"/>
                <w:szCs w:val="21"/>
              </w:rPr>
            </w:pPr>
            <w:r>
              <w:rPr>
                <w:rFonts w:hint="eastAsia" w:ascii="宋体" w:hAnsi="宋体" w:cs="宋体"/>
                <w:szCs w:val="21"/>
              </w:rPr>
              <w:t>pH</w:t>
            </w:r>
          </w:p>
        </w:tc>
        <w:tc>
          <w:tcPr>
            <w:tcW w:w="877" w:type="pct"/>
            <w:vAlign w:val="center"/>
          </w:tcPr>
          <w:p w14:paraId="7037AC16">
            <w:pPr>
              <w:adjustRightInd w:val="0"/>
              <w:snapToGrid w:val="0"/>
              <w:jc w:val="center"/>
              <w:rPr>
                <w:rFonts w:ascii="宋体" w:hAnsi="宋体" w:cs="宋体"/>
                <w:szCs w:val="21"/>
              </w:rPr>
            </w:pPr>
            <w:r>
              <w:rPr>
                <w:rFonts w:hint="eastAsia" w:ascii="宋体" w:hAnsi="宋体" w:cs="宋体"/>
                <w:szCs w:val="21"/>
              </w:rPr>
              <w:t>6-9</w:t>
            </w:r>
          </w:p>
        </w:tc>
        <w:tc>
          <w:tcPr>
            <w:tcW w:w="1056" w:type="pct"/>
            <w:vMerge w:val="restart"/>
            <w:vAlign w:val="center"/>
          </w:tcPr>
          <w:p w14:paraId="22D1C98C">
            <w:pPr>
              <w:adjustRightInd w:val="0"/>
              <w:snapToGrid w:val="0"/>
              <w:jc w:val="center"/>
              <w:rPr>
                <w:rFonts w:ascii="宋体" w:hAnsi="宋体" w:cs="宋体"/>
                <w:szCs w:val="21"/>
              </w:rPr>
            </w:pPr>
            <w:r>
              <w:rPr>
                <w:rFonts w:hint="eastAsia" w:ascii="宋体" w:hAnsi="宋体" w:cs="宋体"/>
                <w:szCs w:val="21"/>
              </w:rPr>
              <w:t>污水总排放口</w:t>
            </w:r>
          </w:p>
        </w:tc>
      </w:tr>
      <w:tr w14:paraId="4ED3B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69" w:type="pct"/>
            <w:vAlign w:val="center"/>
          </w:tcPr>
          <w:p w14:paraId="259BF809">
            <w:pPr>
              <w:adjustRightInd w:val="0"/>
              <w:snapToGrid w:val="0"/>
              <w:jc w:val="center"/>
              <w:rPr>
                <w:rFonts w:ascii="宋体" w:hAnsi="宋体" w:cs="宋体"/>
                <w:szCs w:val="21"/>
              </w:rPr>
            </w:pPr>
            <w:r>
              <w:rPr>
                <w:rFonts w:hint="eastAsia" w:ascii="宋体" w:hAnsi="宋体" w:cs="宋体"/>
                <w:szCs w:val="21"/>
              </w:rPr>
              <w:t>2</w:t>
            </w:r>
          </w:p>
        </w:tc>
        <w:tc>
          <w:tcPr>
            <w:tcW w:w="2096" w:type="pct"/>
            <w:vAlign w:val="center"/>
          </w:tcPr>
          <w:p w14:paraId="6B87421D">
            <w:pPr>
              <w:adjustRightInd w:val="0"/>
              <w:snapToGrid w:val="0"/>
              <w:jc w:val="center"/>
              <w:rPr>
                <w:rFonts w:ascii="宋体" w:hAnsi="宋体" w:cs="宋体"/>
                <w:szCs w:val="21"/>
              </w:rPr>
            </w:pPr>
            <w:r>
              <w:rPr>
                <w:rFonts w:hint="eastAsia" w:ascii="宋体" w:hAnsi="宋体" w:cs="宋体"/>
                <w:szCs w:val="21"/>
              </w:rPr>
              <w:t>阴离子表面活性剂（mg/L）</w:t>
            </w:r>
          </w:p>
        </w:tc>
        <w:tc>
          <w:tcPr>
            <w:tcW w:w="877" w:type="pct"/>
            <w:vAlign w:val="center"/>
          </w:tcPr>
          <w:p w14:paraId="3F00525D">
            <w:pPr>
              <w:adjustRightInd w:val="0"/>
              <w:snapToGrid w:val="0"/>
              <w:jc w:val="center"/>
              <w:rPr>
                <w:rFonts w:ascii="宋体" w:hAnsi="宋体" w:cs="宋体"/>
                <w:szCs w:val="21"/>
              </w:rPr>
            </w:pPr>
            <w:r>
              <w:rPr>
                <w:rFonts w:hint="eastAsia" w:ascii="宋体" w:hAnsi="宋体" w:cs="宋体"/>
                <w:szCs w:val="21"/>
              </w:rPr>
              <w:t>10</w:t>
            </w:r>
          </w:p>
        </w:tc>
        <w:tc>
          <w:tcPr>
            <w:tcW w:w="1056" w:type="pct"/>
            <w:vMerge w:val="continue"/>
            <w:vAlign w:val="center"/>
          </w:tcPr>
          <w:p w14:paraId="0A648F22">
            <w:pPr>
              <w:adjustRightInd w:val="0"/>
              <w:snapToGrid w:val="0"/>
              <w:jc w:val="center"/>
              <w:rPr>
                <w:rFonts w:ascii="宋体" w:hAnsi="宋体" w:cs="宋体"/>
                <w:szCs w:val="21"/>
              </w:rPr>
            </w:pPr>
          </w:p>
        </w:tc>
      </w:tr>
      <w:tr w14:paraId="40DA6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69" w:type="pct"/>
            <w:vAlign w:val="center"/>
          </w:tcPr>
          <w:p w14:paraId="2BA8C410">
            <w:pPr>
              <w:adjustRightInd w:val="0"/>
              <w:snapToGrid w:val="0"/>
              <w:jc w:val="center"/>
              <w:rPr>
                <w:rFonts w:ascii="宋体" w:hAnsi="宋体" w:cs="宋体"/>
                <w:szCs w:val="21"/>
              </w:rPr>
            </w:pPr>
            <w:r>
              <w:rPr>
                <w:rFonts w:hint="eastAsia" w:ascii="宋体" w:hAnsi="宋体" w:cs="宋体"/>
                <w:szCs w:val="21"/>
              </w:rPr>
              <w:t>3</w:t>
            </w:r>
          </w:p>
        </w:tc>
        <w:tc>
          <w:tcPr>
            <w:tcW w:w="2096" w:type="pct"/>
            <w:vAlign w:val="center"/>
          </w:tcPr>
          <w:p w14:paraId="04765190">
            <w:pPr>
              <w:adjustRightInd w:val="0"/>
              <w:snapToGrid w:val="0"/>
              <w:jc w:val="center"/>
              <w:rPr>
                <w:rFonts w:ascii="宋体" w:hAnsi="宋体" w:cs="宋体"/>
                <w:szCs w:val="21"/>
              </w:rPr>
            </w:pPr>
            <w:r>
              <w:rPr>
                <w:rFonts w:hint="eastAsia" w:ascii="宋体" w:hAnsi="宋体" w:cs="宋体"/>
                <w:szCs w:val="21"/>
              </w:rPr>
              <w:t>肠道致病菌</w:t>
            </w:r>
          </w:p>
        </w:tc>
        <w:tc>
          <w:tcPr>
            <w:tcW w:w="877" w:type="pct"/>
            <w:vAlign w:val="center"/>
          </w:tcPr>
          <w:p w14:paraId="4A23BA2F">
            <w:pPr>
              <w:adjustRightInd w:val="0"/>
              <w:snapToGrid w:val="0"/>
              <w:jc w:val="center"/>
              <w:rPr>
                <w:rFonts w:ascii="宋体" w:hAnsi="宋体" w:cs="宋体"/>
                <w:szCs w:val="21"/>
              </w:rPr>
            </w:pPr>
            <w:r>
              <w:rPr>
                <w:rFonts w:hint="eastAsia" w:ascii="宋体" w:hAnsi="宋体" w:cs="宋体"/>
                <w:szCs w:val="21"/>
              </w:rPr>
              <w:t>不得检出</w:t>
            </w:r>
          </w:p>
        </w:tc>
        <w:tc>
          <w:tcPr>
            <w:tcW w:w="1056" w:type="pct"/>
            <w:vMerge w:val="continue"/>
            <w:vAlign w:val="center"/>
          </w:tcPr>
          <w:p w14:paraId="57AA71BE">
            <w:pPr>
              <w:adjustRightInd w:val="0"/>
              <w:snapToGrid w:val="0"/>
              <w:jc w:val="center"/>
              <w:rPr>
                <w:rFonts w:ascii="宋体" w:hAnsi="宋体" w:cs="宋体"/>
                <w:szCs w:val="21"/>
              </w:rPr>
            </w:pPr>
          </w:p>
        </w:tc>
      </w:tr>
      <w:tr w14:paraId="4F10F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69" w:type="pct"/>
            <w:vAlign w:val="center"/>
          </w:tcPr>
          <w:p w14:paraId="16122226">
            <w:pPr>
              <w:adjustRightInd w:val="0"/>
              <w:snapToGrid w:val="0"/>
              <w:jc w:val="center"/>
              <w:rPr>
                <w:rFonts w:ascii="宋体" w:hAnsi="宋体" w:cs="宋体"/>
                <w:szCs w:val="21"/>
              </w:rPr>
            </w:pPr>
            <w:r>
              <w:rPr>
                <w:rFonts w:hint="eastAsia" w:ascii="宋体" w:hAnsi="宋体" w:cs="宋体"/>
                <w:szCs w:val="21"/>
              </w:rPr>
              <w:t>4</w:t>
            </w:r>
          </w:p>
        </w:tc>
        <w:tc>
          <w:tcPr>
            <w:tcW w:w="2096" w:type="pct"/>
            <w:vAlign w:val="center"/>
          </w:tcPr>
          <w:p w14:paraId="50B4C02E">
            <w:pPr>
              <w:adjustRightInd w:val="0"/>
              <w:snapToGrid w:val="0"/>
              <w:jc w:val="center"/>
              <w:rPr>
                <w:rFonts w:ascii="宋体" w:hAnsi="宋体" w:cs="宋体"/>
                <w:szCs w:val="21"/>
              </w:rPr>
            </w:pPr>
            <w:r>
              <w:rPr>
                <w:rFonts w:hint="eastAsia" w:ascii="宋体" w:hAnsi="宋体" w:cs="宋体"/>
                <w:szCs w:val="21"/>
              </w:rPr>
              <w:t>总氰化物（mg/L）</w:t>
            </w:r>
          </w:p>
        </w:tc>
        <w:tc>
          <w:tcPr>
            <w:tcW w:w="877" w:type="pct"/>
            <w:vAlign w:val="center"/>
          </w:tcPr>
          <w:p w14:paraId="413D7D47">
            <w:pPr>
              <w:adjustRightInd w:val="0"/>
              <w:snapToGrid w:val="0"/>
              <w:jc w:val="center"/>
              <w:rPr>
                <w:rFonts w:ascii="宋体" w:hAnsi="宋体" w:cs="宋体"/>
                <w:szCs w:val="21"/>
              </w:rPr>
            </w:pPr>
            <w:r>
              <w:rPr>
                <w:rFonts w:hint="eastAsia" w:ascii="宋体" w:hAnsi="宋体" w:cs="宋体"/>
                <w:szCs w:val="21"/>
              </w:rPr>
              <w:t>0.5</w:t>
            </w:r>
          </w:p>
        </w:tc>
        <w:tc>
          <w:tcPr>
            <w:tcW w:w="1056" w:type="pct"/>
            <w:vMerge w:val="continue"/>
            <w:vAlign w:val="center"/>
          </w:tcPr>
          <w:p w14:paraId="6EFBDB17">
            <w:pPr>
              <w:adjustRightInd w:val="0"/>
              <w:snapToGrid w:val="0"/>
              <w:jc w:val="center"/>
              <w:rPr>
                <w:rFonts w:ascii="宋体" w:hAnsi="宋体" w:cs="宋体"/>
                <w:szCs w:val="21"/>
              </w:rPr>
            </w:pPr>
          </w:p>
        </w:tc>
      </w:tr>
      <w:tr w14:paraId="0D7EA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69" w:type="pct"/>
            <w:vAlign w:val="center"/>
          </w:tcPr>
          <w:p w14:paraId="596488E8">
            <w:pPr>
              <w:adjustRightInd w:val="0"/>
              <w:snapToGrid w:val="0"/>
              <w:jc w:val="center"/>
              <w:rPr>
                <w:rFonts w:ascii="宋体" w:hAnsi="宋体" w:cs="宋体"/>
                <w:szCs w:val="21"/>
              </w:rPr>
            </w:pPr>
            <w:r>
              <w:rPr>
                <w:rFonts w:hint="eastAsia" w:ascii="宋体" w:hAnsi="宋体" w:cs="宋体"/>
                <w:szCs w:val="21"/>
              </w:rPr>
              <w:t>5</w:t>
            </w:r>
          </w:p>
        </w:tc>
        <w:tc>
          <w:tcPr>
            <w:tcW w:w="2096" w:type="pct"/>
            <w:vAlign w:val="center"/>
          </w:tcPr>
          <w:p w14:paraId="00E50D8B">
            <w:pPr>
              <w:adjustRightInd w:val="0"/>
              <w:snapToGrid w:val="0"/>
              <w:jc w:val="center"/>
              <w:rPr>
                <w:rFonts w:ascii="宋体" w:hAnsi="宋体" w:cs="宋体"/>
                <w:szCs w:val="21"/>
              </w:rPr>
            </w:pPr>
            <w:r>
              <w:rPr>
                <w:rFonts w:hint="eastAsia" w:ascii="宋体" w:hAnsi="宋体" w:cs="宋体"/>
                <w:szCs w:val="21"/>
              </w:rPr>
              <w:t>五日生化需氧量（mg/L）</w:t>
            </w:r>
          </w:p>
        </w:tc>
        <w:tc>
          <w:tcPr>
            <w:tcW w:w="877" w:type="pct"/>
            <w:vAlign w:val="center"/>
          </w:tcPr>
          <w:p w14:paraId="6E453821">
            <w:pPr>
              <w:adjustRightInd w:val="0"/>
              <w:snapToGrid w:val="0"/>
              <w:jc w:val="center"/>
              <w:rPr>
                <w:rFonts w:ascii="宋体" w:hAnsi="宋体" w:cs="宋体"/>
                <w:szCs w:val="21"/>
              </w:rPr>
            </w:pPr>
            <w:r>
              <w:rPr>
                <w:rFonts w:hint="eastAsia" w:ascii="宋体" w:hAnsi="宋体" w:cs="宋体"/>
                <w:szCs w:val="21"/>
              </w:rPr>
              <w:t>100</w:t>
            </w:r>
          </w:p>
        </w:tc>
        <w:tc>
          <w:tcPr>
            <w:tcW w:w="1056" w:type="pct"/>
            <w:vMerge w:val="continue"/>
            <w:vAlign w:val="center"/>
          </w:tcPr>
          <w:p w14:paraId="70873163">
            <w:pPr>
              <w:adjustRightInd w:val="0"/>
              <w:snapToGrid w:val="0"/>
              <w:jc w:val="center"/>
              <w:rPr>
                <w:rFonts w:ascii="宋体" w:hAnsi="宋体" w:cs="宋体"/>
                <w:szCs w:val="21"/>
              </w:rPr>
            </w:pPr>
          </w:p>
        </w:tc>
      </w:tr>
      <w:tr w14:paraId="1D16B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69" w:type="pct"/>
            <w:vAlign w:val="center"/>
          </w:tcPr>
          <w:p w14:paraId="4E12BCB2">
            <w:pPr>
              <w:adjustRightInd w:val="0"/>
              <w:snapToGrid w:val="0"/>
              <w:jc w:val="center"/>
              <w:rPr>
                <w:rFonts w:ascii="宋体" w:hAnsi="宋体" w:cs="宋体"/>
                <w:szCs w:val="21"/>
              </w:rPr>
            </w:pPr>
            <w:r>
              <w:rPr>
                <w:rFonts w:hint="eastAsia" w:ascii="宋体" w:hAnsi="宋体" w:cs="宋体"/>
                <w:szCs w:val="21"/>
              </w:rPr>
              <w:t>6</w:t>
            </w:r>
          </w:p>
        </w:tc>
        <w:tc>
          <w:tcPr>
            <w:tcW w:w="2096" w:type="pct"/>
            <w:vAlign w:val="center"/>
          </w:tcPr>
          <w:p w14:paraId="3FDDD67A">
            <w:pPr>
              <w:adjustRightInd w:val="0"/>
              <w:snapToGrid w:val="0"/>
              <w:jc w:val="center"/>
              <w:rPr>
                <w:rFonts w:ascii="宋体" w:hAnsi="宋体" w:cs="宋体"/>
                <w:szCs w:val="21"/>
              </w:rPr>
            </w:pPr>
            <w:r>
              <w:rPr>
                <w:rFonts w:hint="eastAsia" w:ascii="宋体" w:hAnsi="宋体" w:cs="宋体"/>
                <w:szCs w:val="21"/>
              </w:rPr>
              <w:t>色度（稀释倍数）</w:t>
            </w:r>
          </w:p>
        </w:tc>
        <w:tc>
          <w:tcPr>
            <w:tcW w:w="877" w:type="pct"/>
            <w:vAlign w:val="center"/>
          </w:tcPr>
          <w:p w14:paraId="3C79C9AE">
            <w:pPr>
              <w:adjustRightInd w:val="0"/>
              <w:snapToGrid w:val="0"/>
              <w:jc w:val="center"/>
              <w:rPr>
                <w:rFonts w:ascii="宋体" w:hAnsi="宋体" w:cs="宋体"/>
                <w:szCs w:val="21"/>
              </w:rPr>
            </w:pPr>
            <w:r>
              <w:rPr>
                <w:rFonts w:hint="eastAsia" w:ascii="宋体" w:hAnsi="宋体" w:cs="宋体"/>
                <w:szCs w:val="21"/>
              </w:rPr>
              <w:t>-</w:t>
            </w:r>
          </w:p>
        </w:tc>
        <w:tc>
          <w:tcPr>
            <w:tcW w:w="1056" w:type="pct"/>
            <w:vMerge w:val="continue"/>
            <w:vAlign w:val="center"/>
          </w:tcPr>
          <w:p w14:paraId="273AFD5E">
            <w:pPr>
              <w:adjustRightInd w:val="0"/>
              <w:snapToGrid w:val="0"/>
              <w:jc w:val="center"/>
              <w:rPr>
                <w:rFonts w:ascii="宋体" w:hAnsi="宋体" w:cs="宋体"/>
                <w:szCs w:val="21"/>
              </w:rPr>
            </w:pPr>
          </w:p>
        </w:tc>
      </w:tr>
      <w:tr w14:paraId="1B3D9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69" w:type="pct"/>
            <w:vAlign w:val="center"/>
          </w:tcPr>
          <w:p w14:paraId="0C0BA793">
            <w:pPr>
              <w:adjustRightInd w:val="0"/>
              <w:snapToGrid w:val="0"/>
              <w:jc w:val="center"/>
              <w:rPr>
                <w:rFonts w:ascii="宋体" w:hAnsi="宋体" w:cs="宋体"/>
                <w:szCs w:val="21"/>
              </w:rPr>
            </w:pPr>
            <w:r>
              <w:rPr>
                <w:rFonts w:hint="eastAsia" w:ascii="宋体" w:hAnsi="宋体" w:cs="宋体"/>
                <w:szCs w:val="21"/>
              </w:rPr>
              <w:t>7</w:t>
            </w:r>
          </w:p>
        </w:tc>
        <w:tc>
          <w:tcPr>
            <w:tcW w:w="2096" w:type="pct"/>
            <w:vAlign w:val="center"/>
          </w:tcPr>
          <w:p w14:paraId="36286C79">
            <w:pPr>
              <w:adjustRightInd w:val="0"/>
              <w:snapToGrid w:val="0"/>
              <w:jc w:val="center"/>
              <w:rPr>
                <w:rFonts w:ascii="宋体" w:hAnsi="宋体" w:cs="宋体"/>
                <w:szCs w:val="21"/>
              </w:rPr>
            </w:pPr>
            <w:r>
              <w:rPr>
                <w:rFonts w:hint="eastAsia" w:ascii="宋体" w:hAnsi="宋体" w:cs="宋体"/>
                <w:szCs w:val="21"/>
              </w:rPr>
              <w:t>总余氯（以Cl计）（mg/L）</w:t>
            </w:r>
          </w:p>
        </w:tc>
        <w:tc>
          <w:tcPr>
            <w:tcW w:w="877" w:type="pct"/>
            <w:vAlign w:val="center"/>
          </w:tcPr>
          <w:p w14:paraId="47D62F07">
            <w:pPr>
              <w:adjustRightInd w:val="0"/>
              <w:snapToGrid w:val="0"/>
              <w:jc w:val="center"/>
              <w:rPr>
                <w:rFonts w:ascii="宋体" w:hAnsi="宋体" w:cs="宋体"/>
                <w:szCs w:val="21"/>
              </w:rPr>
            </w:pPr>
            <w:r>
              <w:rPr>
                <w:rFonts w:hint="eastAsia" w:ascii="宋体" w:hAnsi="宋体" w:cs="宋体"/>
                <w:szCs w:val="21"/>
              </w:rPr>
              <w:t>2-8</w:t>
            </w:r>
          </w:p>
        </w:tc>
        <w:tc>
          <w:tcPr>
            <w:tcW w:w="1056" w:type="pct"/>
            <w:vMerge w:val="continue"/>
            <w:vAlign w:val="center"/>
          </w:tcPr>
          <w:p w14:paraId="7ED70DE9">
            <w:pPr>
              <w:adjustRightInd w:val="0"/>
              <w:snapToGrid w:val="0"/>
              <w:jc w:val="center"/>
              <w:rPr>
                <w:rFonts w:ascii="宋体" w:hAnsi="宋体" w:cs="宋体"/>
                <w:szCs w:val="21"/>
              </w:rPr>
            </w:pPr>
          </w:p>
        </w:tc>
      </w:tr>
      <w:tr w14:paraId="1D938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69" w:type="pct"/>
            <w:vAlign w:val="center"/>
          </w:tcPr>
          <w:p w14:paraId="24370ADD">
            <w:pPr>
              <w:adjustRightInd w:val="0"/>
              <w:snapToGrid w:val="0"/>
              <w:jc w:val="center"/>
              <w:rPr>
                <w:rFonts w:ascii="宋体" w:hAnsi="宋体" w:cs="宋体"/>
                <w:szCs w:val="21"/>
              </w:rPr>
            </w:pPr>
            <w:r>
              <w:rPr>
                <w:rFonts w:hint="eastAsia" w:ascii="宋体" w:hAnsi="宋体" w:cs="宋体"/>
                <w:szCs w:val="21"/>
              </w:rPr>
              <w:t>8</w:t>
            </w:r>
          </w:p>
        </w:tc>
        <w:tc>
          <w:tcPr>
            <w:tcW w:w="2096" w:type="pct"/>
            <w:vAlign w:val="center"/>
          </w:tcPr>
          <w:p w14:paraId="6EA88212">
            <w:pPr>
              <w:adjustRightInd w:val="0"/>
              <w:snapToGrid w:val="0"/>
              <w:jc w:val="center"/>
              <w:rPr>
                <w:rFonts w:ascii="宋体" w:hAnsi="宋体" w:cs="宋体"/>
                <w:szCs w:val="21"/>
              </w:rPr>
            </w:pPr>
            <w:r>
              <w:rPr>
                <w:rFonts w:hint="eastAsia" w:ascii="宋体" w:hAnsi="宋体" w:cs="宋体"/>
                <w:szCs w:val="21"/>
              </w:rPr>
              <w:t>粪大肠菌群数（MPN/L）</w:t>
            </w:r>
          </w:p>
        </w:tc>
        <w:tc>
          <w:tcPr>
            <w:tcW w:w="877" w:type="pct"/>
            <w:vAlign w:val="center"/>
          </w:tcPr>
          <w:p w14:paraId="5192D8CF">
            <w:pPr>
              <w:adjustRightInd w:val="0"/>
              <w:snapToGrid w:val="0"/>
              <w:jc w:val="center"/>
              <w:rPr>
                <w:rFonts w:ascii="宋体" w:hAnsi="宋体" w:cs="宋体"/>
                <w:szCs w:val="21"/>
              </w:rPr>
            </w:pPr>
            <w:r>
              <w:rPr>
                <w:rFonts w:hint="eastAsia" w:ascii="宋体" w:hAnsi="宋体" w:cs="宋体"/>
                <w:szCs w:val="21"/>
              </w:rPr>
              <w:t>500</w:t>
            </w:r>
          </w:p>
        </w:tc>
        <w:tc>
          <w:tcPr>
            <w:tcW w:w="1056" w:type="pct"/>
            <w:vMerge w:val="continue"/>
            <w:vAlign w:val="center"/>
          </w:tcPr>
          <w:p w14:paraId="0994692D">
            <w:pPr>
              <w:adjustRightInd w:val="0"/>
              <w:snapToGrid w:val="0"/>
              <w:jc w:val="center"/>
              <w:rPr>
                <w:rFonts w:ascii="宋体" w:hAnsi="宋体" w:cs="宋体"/>
                <w:szCs w:val="21"/>
              </w:rPr>
            </w:pPr>
          </w:p>
        </w:tc>
      </w:tr>
      <w:tr w14:paraId="2BD74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69" w:type="pct"/>
            <w:vAlign w:val="center"/>
          </w:tcPr>
          <w:p w14:paraId="40955F44">
            <w:pPr>
              <w:adjustRightInd w:val="0"/>
              <w:snapToGrid w:val="0"/>
              <w:jc w:val="center"/>
              <w:rPr>
                <w:rFonts w:ascii="宋体" w:hAnsi="宋体" w:cs="宋体"/>
                <w:szCs w:val="21"/>
              </w:rPr>
            </w:pPr>
            <w:r>
              <w:rPr>
                <w:rFonts w:hint="eastAsia" w:ascii="宋体" w:hAnsi="宋体" w:cs="宋体"/>
                <w:szCs w:val="21"/>
              </w:rPr>
              <w:t>9</w:t>
            </w:r>
          </w:p>
        </w:tc>
        <w:tc>
          <w:tcPr>
            <w:tcW w:w="2096" w:type="pct"/>
            <w:vAlign w:val="center"/>
          </w:tcPr>
          <w:p w14:paraId="3D748FDE">
            <w:pPr>
              <w:adjustRightInd w:val="0"/>
              <w:snapToGrid w:val="0"/>
              <w:jc w:val="center"/>
              <w:rPr>
                <w:rFonts w:ascii="宋体" w:hAnsi="宋体" w:cs="宋体"/>
                <w:szCs w:val="21"/>
              </w:rPr>
            </w:pPr>
            <w:r>
              <w:rPr>
                <w:rFonts w:hint="eastAsia" w:ascii="宋体" w:hAnsi="宋体" w:cs="宋体"/>
                <w:szCs w:val="21"/>
              </w:rPr>
              <w:t>氨氮（mg/L）</w:t>
            </w:r>
          </w:p>
        </w:tc>
        <w:tc>
          <w:tcPr>
            <w:tcW w:w="877" w:type="pct"/>
            <w:vAlign w:val="center"/>
          </w:tcPr>
          <w:p w14:paraId="3BBFFB29">
            <w:pPr>
              <w:adjustRightInd w:val="0"/>
              <w:snapToGrid w:val="0"/>
              <w:jc w:val="center"/>
              <w:rPr>
                <w:rFonts w:ascii="宋体" w:hAnsi="宋体" w:cs="宋体"/>
                <w:szCs w:val="21"/>
              </w:rPr>
            </w:pPr>
            <w:r>
              <w:rPr>
                <w:rFonts w:hint="eastAsia" w:ascii="宋体" w:hAnsi="宋体" w:cs="宋体"/>
                <w:szCs w:val="21"/>
              </w:rPr>
              <w:t>-</w:t>
            </w:r>
          </w:p>
        </w:tc>
        <w:tc>
          <w:tcPr>
            <w:tcW w:w="1056" w:type="pct"/>
            <w:vMerge w:val="continue"/>
            <w:vAlign w:val="center"/>
          </w:tcPr>
          <w:p w14:paraId="4F13209F">
            <w:pPr>
              <w:adjustRightInd w:val="0"/>
              <w:snapToGrid w:val="0"/>
              <w:jc w:val="center"/>
              <w:rPr>
                <w:rFonts w:ascii="宋体" w:hAnsi="宋体" w:cs="宋体"/>
                <w:szCs w:val="21"/>
              </w:rPr>
            </w:pPr>
          </w:p>
        </w:tc>
      </w:tr>
      <w:tr w14:paraId="579E4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69" w:type="pct"/>
            <w:vAlign w:val="center"/>
          </w:tcPr>
          <w:p w14:paraId="7DC8DE9D">
            <w:pPr>
              <w:adjustRightInd w:val="0"/>
              <w:snapToGrid w:val="0"/>
              <w:jc w:val="center"/>
              <w:rPr>
                <w:rFonts w:ascii="宋体" w:hAnsi="宋体" w:cs="宋体"/>
                <w:szCs w:val="21"/>
              </w:rPr>
            </w:pPr>
            <w:r>
              <w:rPr>
                <w:rFonts w:hint="eastAsia" w:ascii="宋体" w:hAnsi="宋体" w:cs="宋体"/>
                <w:szCs w:val="21"/>
              </w:rPr>
              <w:t>10</w:t>
            </w:r>
          </w:p>
        </w:tc>
        <w:tc>
          <w:tcPr>
            <w:tcW w:w="2096" w:type="pct"/>
            <w:vAlign w:val="center"/>
          </w:tcPr>
          <w:p w14:paraId="1E112CCA">
            <w:pPr>
              <w:adjustRightInd w:val="0"/>
              <w:snapToGrid w:val="0"/>
              <w:jc w:val="center"/>
              <w:rPr>
                <w:rFonts w:ascii="宋体" w:hAnsi="宋体" w:cs="宋体"/>
                <w:szCs w:val="21"/>
              </w:rPr>
            </w:pPr>
            <w:r>
              <w:rPr>
                <w:rFonts w:hint="eastAsia" w:ascii="宋体" w:hAnsi="宋体" w:cs="宋体"/>
                <w:szCs w:val="21"/>
              </w:rPr>
              <w:t>动植物油（mg/L）</w:t>
            </w:r>
          </w:p>
        </w:tc>
        <w:tc>
          <w:tcPr>
            <w:tcW w:w="877" w:type="pct"/>
            <w:vAlign w:val="center"/>
          </w:tcPr>
          <w:p w14:paraId="13F00FB0">
            <w:pPr>
              <w:adjustRightInd w:val="0"/>
              <w:snapToGrid w:val="0"/>
              <w:jc w:val="center"/>
              <w:rPr>
                <w:rFonts w:ascii="宋体" w:hAnsi="宋体" w:cs="宋体"/>
                <w:szCs w:val="21"/>
              </w:rPr>
            </w:pPr>
            <w:r>
              <w:rPr>
                <w:rFonts w:hint="eastAsia" w:ascii="宋体" w:hAnsi="宋体" w:cs="宋体"/>
                <w:szCs w:val="21"/>
              </w:rPr>
              <w:t>20</w:t>
            </w:r>
          </w:p>
        </w:tc>
        <w:tc>
          <w:tcPr>
            <w:tcW w:w="1056" w:type="pct"/>
            <w:vMerge w:val="continue"/>
            <w:vAlign w:val="center"/>
          </w:tcPr>
          <w:p w14:paraId="7B967F4B">
            <w:pPr>
              <w:adjustRightInd w:val="0"/>
              <w:snapToGrid w:val="0"/>
              <w:jc w:val="center"/>
              <w:rPr>
                <w:rFonts w:ascii="宋体" w:hAnsi="宋体" w:cs="宋体"/>
                <w:szCs w:val="21"/>
              </w:rPr>
            </w:pPr>
          </w:p>
        </w:tc>
      </w:tr>
      <w:tr w14:paraId="0E48A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69" w:type="pct"/>
            <w:vAlign w:val="center"/>
          </w:tcPr>
          <w:p w14:paraId="6F350C8F">
            <w:pPr>
              <w:adjustRightInd w:val="0"/>
              <w:snapToGrid w:val="0"/>
              <w:jc w:val="center"/>
              <w:rPr>
                <w:rFonts w:ascii="宋体" w:hAnsi="宋体" w:cs="宋体"/>
                <w:szCs w:val="21"/>
              </w:rPr>
            </w:pPr>
            <w:r>
              <w:rPr>
                <w:rFonts w:hint="eastAsia" w:ascii="宋体" w:hAnsi="宋体" w:cs="宋体"/>
                <w:szCs w:val="21"/>
              </w:rPr>
              <w:t>11</w:t>
            </w:r>
          </w:p>
        </w:tc>
        <w:tc>
          <w:tcPr>
            <w:tcW w:w="2096" w:type="pct"/>
            <w:vAlign w:val="center"/>
          </w:tcPr>
          <w:p w14:paraId="612FC847">
            <w:pPr>
              <w:adjustRightInd w:val="0"/>
              <w:snapToGrid w:val="0"/>
              <w:jc w:val="center"/>
              <w:rPr>
                <w:rFonts w:ascii="宋体" w:hAnsi="宋体" w:cs="宋体"/>
                <w:szCs w:val="21"/>
              </w:rPr>
            </w:pPr>
            <w:r>
              <w:rPr>
                <w:rFonts w:hint="eastAsia" w:ascii="宋体" w:hAnsi="宋体" w:cs="宋体"/>
                <w:szCs w:val="21"/>
              </w:rPr>
              <w:t>肠道病毒</w:t>
            </w:r>
          </w:p>
        </w:tc>
        <w:tc>
          <w:tcPr>
            <w:tcW w:w="877" w:type="pct"/>
            <w:vAlign w:val="center"/>
          </w:tcPr>
          <w:p w14:paraId="01232F3A">
            <w:pPr>
              <w:adjustRightInd w:val="0"/>
              <w:snapToGrid w:val="0"/>
              <w:jc w:val="center"/>
              <w:rPr>
                <w:rFonts w:ascii="宋体" w:hAnsi="宋体" w:cs="宋体"/>
                <w:szCs w:val="21"/>
              </w:rPr>
            </w:pPr>
            <w:r>
              <w:rPr>
                <w:rFonts w:hint="eastAsia" w:ascii="宋体" w:hAnsi="宋体" w:cs="宋体"/>
                <w:szCs w:val="21"/>
              </w:rPr>
              <w:t>不得检出</w:t>
            </w:r>
          </w:p>
        </w:tc>
        <w:tc>
          <w:tcPr>
            <w:tcW w:w="1056" w:type="pct"/>
            <w:vMerge w:val="continue"/>
            <w:vAlign w:val="center"/>
          </w:tcPr>
          <w:p w14:paraId="3DD778F8">
            <w:pPr>
              <w:adjustRightInd w:val="0"/>
              <w:snapToGrid w:val="0"/>
              <w:jc w:val="center"/>
              <w:rPr>
                <w:rFonts w:ascii="宋体" w:hAnsi="宋体" w:cs="宋体"/>
                <w:szCs w:val="21"/>
              </w:rPr>
            </w:pPr>
          </w:p>
        </w:tc>
      </w:tr>
      <w:tr w14:paraId="0B666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69" w:type="pct"/>
            <w:vAlign w:val="center"/>
          </w:tcPr>
          <w:p w14:paraId="13F1AD2F">
            <w:pPr>
              <w:adjustRightInd w:val="0"/>
              <w:snapToGrid w:val="0"/>
              <w:jc w:val="center"/>
              <w:rPr>
                <w:rFonts w:ascii="宋体" w:hAnsi="宋体" w:cs="宋体"/>
                <w:szCs w:val="21"/>
              </w:rPr>
            </w:pPr>
            <w:r>
              <w:rPr>
                <w:rFonts w:hint="eastAsia" w:ascii="宋体" w:hAnsi="宋体" w:cs="宋体"/>
                <w:szCs w:val="21"/>
              </w:rPr>
              <w:t>12</w:t>
            </w:r>
          </w:p>
        </w:tc>
        <w:tc>
          <w:tcPr>
            <w:tcW w:w="2096" w:type="pct"/>
            <w:vAlign w:val="center"/>
          </w:tcPr>
          <w:p w14:paraId="398DB167">
            <w:pPr>
              <w:adjustRightInd w:val="0"/>
              <w:snapToGrid w:val="0"/>
              <w:jc w:val="center"/>
              <w:rPr>
                <w:rFonts w:ascii="宋体" w:hAnsi="宋体" w:cs="宋体"/>
                <w:szCs w:val="21"/>
              </w:rPr>
            </w:pPr>
            <w:r>
              <w:rPr>
                <w:rFonts w:hint="eastAsia" w:ascii="宋体" w:hAnsi="宋体" w:cs="宋体"/>
                <w:szCs w:val="21"/>
              </w:rPr>
              <w:t>挥发酚（mg/L）</w:t>
            </w:r>
          </w:p>
        </w:tc>
        <w:tc>
          <w:tcPr>
            <w:tcW w:w="877" w:type="pct"/>
            <w:vAlign w:val="center"/>
          </w:tcPr>
          <w:p w14:paraId="0BDB8148">
            <w:pPr>
              <w:adjustRightInd w:val="0"/>
              <w:snapToGrid w:val="0"/>
              <w:jc w:val="center"/>
              <w:rPr>
                <w:rFonts w:ascii="宋体" w:hAnsi="宋体" w:cs="宋体"/>
                <w:szCs w:val="21"/>
              </w:rPr>
            </w:pPr>
            <w:r>
              <w:rPr>
                <w:rFonts w:hint="eastAsia" w:ascii="宋体" w:hAnsi="宋体" w:cs="宋体"/>
                <w:szCs w:val="21"/>
              </w:rPr>
              <w:t>1.0</w:t>
            </w:r>
          </w:p>
        </w:tc>
        <w:tc>
          <w:tcPr>
            <w:tcW w:w="1056" w:type="pct"/>
            <w:vMerge w:val="continue"/>
            <w:vAlign w:val="center"/>
          </w:tcPr>
          <w:p w14:paraId="7EFB57DB">
            <w:pPr>
              <w:adjustRightInd w:val="0"/>
              <w:snapToGrid w:val="0"/>
              <w:jc w:val="center"/>
              <w:rPr>
                <w:rFonts w:ascii="宋体" w:hAnsi="宋体" w:cs="宋体"/>
                <w:szCs w:val="21"/>
              </w:rPr>
            </w:pPr>
          </w:p>
        </w:tc>
      </w:tr>
      <w:tr w14:paraId="36CD9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69" w:type="pct"/>
            <w:vAlign w:val="center"/>
          </w:tcPr>
          <w:p w14:paraId="73C90230">
            <w:pPr>
              <w:adjustRightInd w:val="0"/>
              <w:snapToGrid w:val="0"/>
              <w:jc w:val="center"/>
              <w:rPr>
                <w:rFonts w:ascii="宋体" w:hAnsi="宋体" w:cs="宋体"/>
                <w:szCs w:val="21"/>
              </w:rPr>
            </w:pPr>
            <w:r>
              <w:rPr>
                <w:rFonts w:hint="eastAsia" w:ascii="宋体" w:hAnsi="宋体" w:cs="宋体"/>
                <w:szCs w:val="21"/>
              </w:rPr>
              <w:t>13</w:t>
            </w:r>
          </w:p>
        </w:tc>
        <w:tc>
          <w:tcPr>
            <w:tcW w:w="2096" w:type="pct"/>
            <w:vAlign w:val="center"/>
          </w:tcPr>
          <w:p w14:paraId="0165D923">
            <w:pPr>
              <w:adjustRightInd w:val="0"/>
              <w:snapToGrid w:val="0"/>
              <w:jc w:val="center"/>
              <w:rPr>
                <w:rFonts w:ascii="宋体" w:hAnsi="宋体" w:cs="宋体"/>
                <w:szCs w:val="21"/>
              </w:rPr>
            </w:pPr>
            <w:r>
              <w:rPr>
                <w:rFonts w:hint="eastAsia" w:ascii="宋体" w:hAnsi="宋体" w:cs="宋体"/>
                <w:szCs w:val="21"/>
              </w:rPr>
              <w:t>悬浮物（mg/L）</w:t>
            </w:r>
          </w:p>
        </w:tc>
        <w:tc>
          <w:tcPr>
            <w:tcW w:w="877" w:type="pct"/>
            <w:vAlign w:val="center"/>
          </w:tcPr>
          <w:p w14:paraId="3B47C432">
            <w:pPr>
              <w:adjustRightInd w:val="0"/>
              <w:snapToGrid w:val="0"/>
              <w:jc w:val="center"/>
              <w:rPr>
                <w:rFonts w:ascii="宋体" w:hAnsi="宋体" w:cs="宋体"/>
                <w:szCs w:val="21"/>
              </w:rPr>
            </w:pPr>
            <w:r>
              <w:rPr>
                <w:rFonts w:hint="eastAsia" w:ascii="宋体" w:hAnsi="宋体" w:cs="宋体"/>
                <w:szCs w:val="21"/>
              </w:rPr>
              <w:t>60</w:t>
            </w:r>
          </w:p>
        </w:tc>
        <w:tc>
          <w:tcPr>
            <w:tcW w:w="1056" w:type="pct"/>
            <w:vMerge w:val="continue"/>
            <w:vAlign w:val="center"/>
          </w:tcPr>
          <w:p w14:paraId="4B3E79A5">
            <w:pPr>
              <w:adjustRightInd w:val="0"/>
              <w:snapToGrid w:val="0"/>
              <w:jc w:val="center"/>
              <w:rPr>
                <w:rFonts w:ascii="宋体" w:hAnsi="宋体" w:cs="宋体"/>
                <w:szCs w:val="21"/>
              </w:rPr>
            </w:pPr>
          </w:p>
        </w:tc>
      </w:tr>
      <w:tr w14:paraId="59769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69" w:type="pct"/>
            <w:vAlign w:val="center"/>
          </w:tcPr>
          <w:p w14:paraId="0960ABAA">
            <w:pPr>
              <w:adjustRightInd w:val="0"/>
              <w:snapToGrid w:val="0"/>
              <w:jc w:val="center"/>
              <w:rPr>
                <w:rFonts w:ascii="宋体" w:hAnsi="宋体" w:cs="宋体"/>
                <w:bCs/>
                <w:szCs w:val="21"/>
              </w:rPr>
            </w:pPr>
            <w:r>
              <w:rPr>
                <w:rFonts w:hint="eastAsia" w:ascii="宋体" w:hAnsi="宋体" w:cs="宋体"/>
                <w:bCs/>
                <w:szCs w:val="21"/>
              </w:rPr>
              <w:t>14</w:t>
            </w:r>
          </w:p>
        </w:tc>
        <w:tc>
          <w:tcPr>
            <w:tcW w:w="2096" w:type="pct"/>
            <w:vAlign w:val="center"/>
          </w:tcPr>
          <w:p w14:paraId="5CA64736">
            <w:pPr>
              <w:adjustRightInd w:val="0"/>
              <w:snapToGrid w:val="0"/>
              <w:jc w:val="center"/>
              <w:rPr>
                <w:rFonts w:ascii="宋体" w:hAnsi="宋体" w:cs="宋体"/>
                <w:szCs w:val="21"/>
              </w:rPr>
            </w:pPr>
            <w:r>
              <w:rPr>
                <w:rFonts w:hint="eastAsia" w:ascii="宋体" w:hAnsi="宋体" w:cs="宋体"/>
                <w:szCs w:val="21"/>
              </w:rPr>
              <w:t>化学需氧量（mg/L）</w:t>
            </w:r>
          </w:p>
        </w:tc>
        <w:tc>
          <w:tcPr>
            <w:tcW w:w="877" w:type="pct"/>
            <w:vAlign w:val="center"/>
          </w:tcPr>
          <w:p w14:paraId="7206D421">
            <w:pPr>
              <w:adjustRightInd w:val="0"/>
              <w:snapToGrid w:val="0"/>
              <w:jc w:val="center"/>
              <w:rPr>
                <w:rFonts w:ascii="宋体" w:hAnsi="宋体" w:cs="宋体"/>
                <w:szCs w:val="21"/>
              </w:rPr>
            </w:pPr>
            <w:r>
              <w:rPr>
                <w:rFonts w:hint="eastAsia" w:ascii="宋体" w:hAnsi="宋体" w:cs="宋体"/>
                <w:szCs w:val="21"/>
              </w:rPr>
              <w:t>250</w:t>
            </w:r>
          </w:p>
        </w:tc>
        <w:tc>
          <w:tcPr>
            <w:tcW w:w="1056" w:type="pct"/>
            <w:vMerge w:val="continue"/>
            <w:vAlign w:val="center"/>
          </w:tcPr>
          <w:p w14:paraId="0B04FD50">
            <w:pPr>
              <w:adjustRightInd w:val="0"/>
              <w:snapToGrid w:val="0"/>
              <w:jc w:val="center"/>
              <w:rPr>
                <w:rFonts w:ascii="宋体" w:hAnsi="宋体" w:cs="宋体"/>
                <w:szCs w:val="21"/>
              </w:rPr>
            </w:pPr>
          </w:p>
        </w:tc>
      </w:tr>
      <w:tr w14:paraId="784BB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jc w:val="center"/>
        </w:trPr>
        <w:tc>
          <w:tcPr>
            <w:tcW w:w="969" w:type="pct"/>
            <w:vAlign w:val="center"/>
          </w:tcPr>
          <w:p w14:paraId="363211B4">
            <w:pPr>
              <w:adjustRightInd w:val="0"/>
              <w:snapToGrid w:val="0"/>
              <w:jc w:val="center"/>
              <w:rPr>
                <w:rFonts w:ascii="宋体" w:hAnsi="宋体" w:cs="宋体"/>
                <w:szCs w:val="21"/>
              </w:rPr>
            </w:pPr>
            <w:r>
              <w:rPr>
                <w:rFonts w:hint="eastAsia" w:ascii="宋体" w:hAnsi="宋体" w:cs="宋体"/>
                <w:szCs w:val="21"/>
              </w:rPr>
              <w:t>15</w:t>
            </w:r>
          </w:p>
        </w:tc>
        <w:tc>
          <w:tcPr>
            <w:tcW w:w="2096" w:type="pct"/>
            <w:vAlign w:val="center"/>
          </w:tcPr>
          <w:p w14:paraId="39DDE99A">
            <w:pPr>
              <w:adjustRightInd w:val="0"/>
              <w:snapToGrid w:val="0"/>
              <w:jc w:val="center"/>
              <w:rPr>
                <w:rFonts w:ascii="宋体" w:hAnsi="宋体" w:cs="宋体"/>
                <w:szCs w:val="21"/>
              </w:rPr>
            </w:pPr>
            <w:r>
              <w:rPr>
                <w:rFonts w:hint="eastAsia" w:ascii="宋体" w:hAnsi="宋体" w:cs="宋体"/>
                <w:szCs w:val="21"/>
              </w:rPr>
              <w:t>石油类（mg/L）</w:t>
            </w:r>
          </w:p>
        </w:tc>
        <w:tc>
          <w:tcPr>
            <w:tcW w:w="877" w:type="pct"/>
            <w:vAlign w:val="center"/>
          </w:tcPr>
          <w:p w14:paraId="1157902A">
            <w:pPr>
              <w:adjustRightInd w:val="0"/>
              <w:snapToGrid w:val="0"/>
              <w:jc w:val="center"/>
              <w:rPr>
                <w:rFonts w:ascii="宋体" w:hAnsi="宋体" w:cs="宋体"/>
                <w:szCs w:val="21"/>
              </w:rPr>
            </w:pPr>
            <w:r>
              <w:rPr>
                <w:rFonts w:hint="eastAsia" w:ascii="宋体" w:hAnsi="宋体" w:cs="宋体"/>
                <w:szCs w:val="21"/>
              </w:rPr>
              <w:t>20</w:t>
            </w:r>
          </w:p>
        </w:tc>
        <w:tc>
          <w:tcPr>
            <w:tcW w:w="1056" w:type="pct"/>
            <w:vMerge w:val="continue"/>
            <w:vAlign w:val="center"/>
          </w:tcPr>
          <w:p w14:paraId="67425F37">
            <w:pPr>
              <w:adjustRightInd w:val="0"/>
              <w:snapToGrid w:val="0"/>
              <w:jc w:val="center"/>
              <w:rPr>
                <w:rFonts w:ascii="宋体" w:hAnsi="宋体" w:cs="宋体"/>
                <w:szCs w:val="21"/>
              </w:rPr>
            </w:pPr>
          </w:p>
        </w:tc>
      </w:tr>
      <w:tr w14:paraId="2212E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2" w:hRule="atLeast"/>
          <w:jc w:val="center"/>
        </w:trPr>
        <w:tc>
          <w:tcPr>
            <w:tcW w:w="969" w:type="pct"/>
            <w:vAlign w:val="center"/>
          </w:tcPr>
          <w:p w14:paraId="0BCC2A6F">
            <w:pPr>
              <w:adjustRightInd w:val="0"/>
              <w:snapToGrid w:val="0"/>
              <w:jc w:val="center"/>
              <w:rPr>
                <w:rFonts w:ascii="宋体" w:hAnsi="宋体" w:cs="宋体"/>
                <w:szCs w:val="21"/>
              </w:rPr>
            </w:pPr>
            <w:r>
              <w:rPr>
                <w:rFonts w:hint="eastAsia" w:ascii="宋体" w:hAnsi="宋体" w:cs="宋体"/>
                <w:szCs w:val="21"/>
              </w:rPr>
              <w:t>16</w:t>
            </w:r>
          </w:p>
        </w:tc>
        <w:tc>
          <w:tcPr>
            <w:tcW w:w="2096" w:type="pct"/>
            <w:vAlign w:val="center"/>
          </w:tcPr>
          <w:p w14:paraId="328491F5">
            <w:pPr>
              <w:adjustRightInd w:val="0"/>
              <w:snapToGrid w:val="0"/>
              <w:jc w:val="center"/>
              <w:rPr>
                <w:rFonts w:ascii="宋体" w:hAnsi="宋体" w:cs="宋体"/>
                <w:szCs w:val="21"/>
              </w:rPr>
            </w:pPr>
            <w:r>
              <w:rPr>
                <w:rFonts w:hint="eastAsia" w:ascii="宋体" w:hAnsi="宋体" w:cs="宋体"/>
                <w:szCs w:val="21"/>
              </w:rPr>
              <w:t>总余氯（以Cl计）（mg/L）</w:t>
            </w:r>
          </w:p>
        </w:tc>
        <w:tc>
          <w:tcPr>
            <w:tcW w:w="877" w:type="pct"/>
            <w:vAlign w:val="center"/>
          </w:tcPr>
          <w:p w14:paraId="22E02F3C">
            <w:pPr>
              <w:adjustRightInd w:val="0"/>
              <w:snapToGrid w:val="0"/>
              <w:jc w:val="center"/>
              <w:rPr>
                <w:rFonts w:ascii="宋体" w:hAnsi="宋体" w:cs="宋体"/>
                <w:szCs w:val="21"/>
              </w:rPr>
            </w:pPr>
            <w:r>
              <w:rPr>
                <w:rFonts w:hint="eastAsia" w:ascii="宋体" w:hAnsi="宋体" w:cs="宋体"/>
                <w:szCs w:val="21"/>
              </w:rPr>
              <w:t>2-8</w:t>
            </w:r>
          </w:p>
        </w:tc>
        <w:tc>
          <w:tcPr>
            <w:tcW w:w="1056" w:type="pct"/>
            <w:vAlign w:val="center"/>
          </w:tcPr>
          <w:p w14:paraId="0D80D25D">
            <w:pPr>
              <w:adjustRightInd w:val="0"/>
              <w:snapToGrid w:val="0"/>
              <w:jc w:val="center"/>
              <w:rPr>
                <w:rFonts w:ascii="宋体" w:hAnsi="宋体" w:cs="宋体"/>
                <w:szCs w:val="21"/>
              </w:rPr>
            </w:pPr>
            <w:r>
              <w:rPr>
                <w:rFonts w:hint="eastAsia" w:ascii="宋体" w:hAnsi="宋体" w:cs="宋体"/>
                <w:szCs w:val="21"/>
              </w:rPr>
              <w:t>接触池出口</w:t>
            </w:r>
          </w:p>
        </w:tc>
      </w:tr>
    </w:tbl>
    <w:p w14:paraId="4AC61947">
      <w:pPr>
        <w:numPr>
          <w:ilvl w:val="0"/>
          <w:numId w:val="9"/>
        </w:numPr>
        <w:spacing w:line="360" w:lineRule="auto"/>
        <w:ind w:firstLine="420" w:firstLineChars="200"/>
        <w:rPr>
          <w:rFonts w:ascii="宋体" w:hAnsi="宋体" w:cs="宋体"/>
          <w:szCs w:val="21"/>
        </w:rPr>
      </w:pPr>
      <w:r>
        <w:rPr>
          <w:rFonts w:hint="eastAsia" w:ascii="宋体" w:hAnsi="宋体" w:cs="宋体"/>
          <w:szCs w:val="21"/>
        </w:rPr>
        <w:t>组织及实施要求</w:t>
      </w:r>
    </w:p>
    <w:tbl>
      <w:tblPr>
        <w:tblStyle w:val="18"/>
        <w:tblW w:w="834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2"/>
        <w:gridCol w:w="1670"/>
        <w:gridCol w:w="5734"/>
      </w:tblGrid>
      <w:tr w14:paraId="407A3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942" w:type="dxa"/>
          </w:tcPr>
          <w:p w14:paraId="2CC4A717">
            <w:pPr>
              <w:jc w:val="center"/>
              <w:rPr>
                <w:rFonts w:ascii="宋体" w:hAnsi="宋体" w:cs="宋体"/>
                <w:b/>
                <w:szCs w:val="21"/>
              </w:rPr>
            </w:pPr>
            <w:r>
              <w:rPr>
                <w:rFonts w:hint="eastAsia" w:ascii="宋体" w:hAnsi="宋体" w:cs="宋体"/>
                <w:b/>
                <w:szCs w:val="21"/>
              </w:rPr>
              <w:t>序号</w:t>
            </w:r>
          </w:p>
        </w:tc>
        <w:tc>
          <w:tcPr>
            <w:tcW w:w="1670" w:type="dxa"/>
          </w:tcPr>
          <w:p w14:paraId="0F4ADF39">
            <w:pPr>
              <w:jc w:val="center"/>
              <w:rPr>
                <w:rFonts w:ascii="宋体" w:hAnsi="宋体" w:cs="宋体"/>
                <w:b/>
                <w:szCs w:val="21"/>
              </w:rPr>
            </w:pPr>
            <w:r>
              <w:rPr>
                <w:rFonts w:hint="eastAsia" w:ascii="宋体" w:hAnsi="宋体" w:cs="宋体"/>
                <w:b/>
                <w:szCs w:val="21"/>
              </w:rPr>
              <w:t>项目</w:t>
            </w:r>
          </w:p>
        </w:tc>
        <w:tc>
          <w:tcPr>
            <w:tcW w:w="5734" w:type="dxa"/>
          </w:tcPr>
          <w:p w14:paraId="46623438">
            <w:pPr>
              <w:jc w:val="center"/>
              <w:rPr>
                <w:rFonts w:ascii="宋体" w:hAnsi="宋体" w:cs="宋体"/>
                <w:b/>
                <w:szCs w:val="21"/>
              </w:rPr>
            </w:pPr>
            <w:r>
              <w:rPr>
                <w:rFonts w:hint="eastAsia" w:ascii="宋体" w:hAnsi="宋体" w:cs="宋体"/>
                <w:b/>
                <w:szCs w:val="21"/>
              </w:rPr>
              <w:t>服务标准</w:t>
            </w:r>
          </w:p>
        </w:tc>
      </w:tr>
      <w:tr w14:paraId="7E079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2" w:type="dxa"/>
            <w:vMerge w:val="restart"/>
            <w:vAlign w:val="center"/>
          </w:tcPr>
          <w:p w14:paraId="2A94DEB1">
            <w:pPr>
              <w:jc w:val="center"/>
              <w:rPr>
                <w:rFonts w:ascii="宋体" w:hAnsi="宋体" w:cs="宋体"/>
                <w:szCs w:val="21"/>
              </w:rPr>
            </w:pPr>
            <w:r>
              <w:rPr>
                <w:rFonts w:hint="eastAsia" w:ascii="宋体" w:hAnsi="宋体" w:cs="宋体"/>
                <w:szCs w:val="21"/>
              </w:rPr>
              <w:t>1</w:t>
            </w:r>
          </w:p>
        </w:tc>
        <w:tc>
          <w:tcPr>
            <w:tcW w:w="1670" w:type="dxa"/>
            <w:vMerge w:val="restart"/>
            <w:vAlign w:val="center"/>
          </w:tcPr>
          <w:p w14:paraId="2C300671">
            <w:pPr>
              <w:jc w:val="center"/>
              <w:rPr>
                <w:rFonts w:ascii="宋体" w:hAnsi="宋体" w:cs="宋体"/>
                <w:szCs w:val="21"/>
              </w:rPr>
            </w:pPr>
            <w:r>
              <w:rPr>
                <w:rFonts w:hint="eastAsia" w:ascii="宋体" w:hAnsi="宋体" w:cs="宋体"/>
                <w:szCs w:val="21"/>
              </w:rPr>
              <w:t>运营服务</w:t>
            </w:r>
          </w:p>
        </w:tc>
        <w:tc>
          <w:tcPr>
            <w:tcW w:w="5734" w:type="dxa"/>
          </w:tcPr>
          <w:p w14:paraId="4973E43B">
            <w:pPr>
              <w:spacing w:line="360" w:lineRule="auto"/>
              <w:rPr>
                <w:rFonts w:ascii="宋体" w:hAnsi="宋体" w:cs="宋体"/>
                <w:szCs w:val="21"/>
              </w:rPr>
            </w:pPr>
            <w:r>
              <w:rPr>
                <w:rFonts w:hint="eastAsia" w:ascii="宋体" w:hAnsi="宋体" w:cs="宋体"/>
                <w:szCs w:val="21"/>
              </w:rPr>
              <w:t>投标人必须制定完善的运营管理网络机构图表</w:t>
            </w:r>
          </w:p>
        </w:tc>
      </w:tr>
      <w:tr w14:paraId="4E87E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2" w:type="dxa"/>
            <w:vMerge w:val="continue"/>
          </w:tcPr>
          <w:p w14:paraId="04C6BB1E">
            <w:pPr>
              <w:rPr>
                <w:rFonts w:ascii="宋体" w:hAnsi="宋体" w:cs="宋体"/>
                <w:szCs w:val="21"/>
              </w:rPr>
            </w:pPr>
          </w:p>
        </w:tc>
        <w:tc>
          <w:tcPr>
            <w:tcW w:w="1670" w:type="dxa"/>
            <w:vMerge w:val="continue"/>
          </w:tcPr>
          <w:p w14:paraId="57052B90">
            <w:pPr>
              <w:rPr>
                <w:rFonts w:ascii="宋体" w:hAnsi="宋体" w:cs="宋体"/>
                <w:szCs w:val="21"/>
              </w:rPr>
            </w:pPr>
          </w:p>
        </w:tc>
        <w:tc>
          <w:tcPr>
            <w:tcW w:w="5734" w:type="dxa"/>
          </w:tcPr>
          <w:p w14:paraId="7C651FF5">
            <w:pPr>
              <w:spacing w:line="360" w:lineRule="auto"/>
              <w:rPr>
                <w:rFonts w:ascii="宋体" w:hAnsi="宋体" w:cs="宋体"/>
                <w:szCs w:val="21"/>
              </w:rPr>
            </w:pPr>
            <w:r>
              <w:rPr>
                <w:rFonts w:hint="eastAsia" w:ascii="宋体" w:hAnsi="宋体" w:cs="宋体"/>
                <w:szCs w:val="21"/>
              </w:rPr>
              <w:t>明确的承包责任条文，包含对当地环保管理机构的承诺以及对发包方的管理、运营承诺</w:t>
            </w:r>
          </w:p>
        </w:tc>
      </w:tr>
      <w:tr w14:paraId="13A3A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2" w:type="dxa"/>
            <w:vMerge w:val="continue"/>
          </w:tcPr>
          <w:p w14:paraId="4E047E20">
            <w:pPr>
              <w:rPr>
                <w:rFonts w:ascii="宋体" w:hAnsi="宋体" w:cs="宋体"/>
                <w:szCs w:val="21"/>
              </w:rPr>
            </w:pPr>
          </w:p>
        </w:tc>
        <w:tc>
          <w:tcPr>
            <w:tcW w:w="1670" w:type="dxa"/>
            <w:vMerge w:val="continue"/>
          </w:tcPr>
          <w:p w14:paraId="1D677821">
            <w:pPr>
              <w:rPr>
                <w:rFonts w:ascii="宋体" w:hAnsi="宋体" w:cs="宋体"/>
                <w:szCs w:val="21"/>
              </w:rPr>
            </w:pPr>
          </w:p>
        </w:tc>
        <w:tc>
          <w:tcPr>
            <w:tcW w:w="5734" w:type="dxa"/>
          </w:tcPr>
          <w:p w14:paraId="2578500C">
            <w:pPr>
              <w:spacing w:line="360" w:lineRule="auto"/>
              <w:rPr>
                <w:rFonts w:ascii="宋体" w:hAnsi="宋体" w:cs="宋体"/>
                <w:szCs w:val="21"/>
              </w:rPr>
            </w:pPr>
            <w:r>
              <w:rPr>
                <w:rFonts w:hint="eastAsia" w:ascii="宋体" w:hAnsi="宋体" w:cs="宋体"/>
                <w:szCs w:val="21"/>
              </w:rPr>
              <w:t>建立健全的考核制度</w:t>
            </w:r>
          </w:p>
        </w:tc>
      </w:tr>
      <w:tr w14:paraId="7BC31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 w:hRule="atLeast"/>
        </w:trPr>
        <w:tc>
          <w:tcPr>
            <w:tcW w:w="942" w:type="dxa"/>
            <w:vMerge w:val="continue"/>
          </w:tcPr>
          <w:p w14:paraId="099D3F32">
            <w:pPr>
              <w:rPr>
                <w:rFonts w:ascii="宋体" w:hAnsi="宋体" w:cs="宋体"/>
                <w:szCs w:val="21"/>
              </w:rPr>
            </w:pPr>
          </w:p>
        </w:tc>
        <w:tc>
          <w:tcPr>
            <w:tcW w:w="1670" w:type="dxa"/>
            <w:vMerge w:val="continue"/>
          </w:tcPr>
          <w:p w14:paraId="708E1935">
            <w:pPr>
              <w:rPr>
                <w:rFonts w:ascii="宋体" w:hAnsi="宋体" w:cs="宋体"/>
                <w:szCs w:val="21"/>
              </w:rPr>
            </w:pPr>
          </w:p>
        </w:tc>
        <w:tc>
          <w:tcPr>
            <w:tcW w:w="5734" w:type="dxa"/>
          </w:tcPr>
          <w:p w14:paraId="166A015D">
            <w:pPr>
              <w:spacing w:line="360" w:lineRule="auto"/>
              <w:rPr>
                <w:rFonts w:ascii="宋体" w:hAnsi="宋体" w:cs="宋体"/>
                <w:szCs w:val="21"/>
              </w:rPr>
            </w:pPr>
            <w:r>
              <w:rPr>
                <w:rFonts w:hint="eastAsia" w:ascii="宋体" w:hAnsi="宋体" w:cs="宋体"/>
                <w:szCs w:val="21"/>
              </w:rPr>
              <w:t>建立健全的运营参数及设备完好率，记录考核交接班制度</w:t>
            </w:r>
          </w:p>
        </w:tc>
      </w:tr>
      <w:tr w14:paraId="3ACBC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942" w:type="dxa"/>
            <w:vMerge w:val="continue"/>
          </w:tcPr>
          <w:p w14:paraId="0571BF0C">
            <w:pPr>
              <w:rPr>
                <w:rFonts w:ascii="宋体" w:hAnsi="宋体" w:cs="宋体"/>
                <w:szCs w:val="21"/>
              </w:rPr>
            </w:pPr>
          </w:p>
        </w:tc>
        <w:tc>
          <w:tcPr>
            <w:tcW w:w="1670" w:type="dxa"/>
            <w:vMerge w:val="continue"/>
          </w:tcPr>
          <w:p w14:paraId="77BAE022">
            <w:pPr>
              <w:rPr>
                <w:rFonts w:ascii="宋体" w:hAnsi="宋体" w:cs="宋体"/>
                <w:szCs w:val="21"/>
              </w:rPr>
            </w:pPr>
          </w:p>
        </w:tc>
        <w:tc>
          <w:tcPr>
            <w:tcW w:w="5734" w:type="dxa"/>
          </w:tcPr>
          <w:p w14:paraId="57358212">
            <w:pPr>
              <w:spacing w:line="360" w:lineRule="auto"/>
              <w:rPr>
                <w:rFonts w:ascii="宋体" w:hAnsi="宋体" w:cs="宋体"/>
                <w:szCs w:val="21"/>
              </w:rPr>
            </w:pPr>
            <w:r>
              <w:rPr>
                <w:rFonts w:hint="eastAsia" w:ascii="宋体" w:hAnsi="宋体" w:cs="宋体"/>
                <w:szCs w:val="21"/>
              </w:rPr>
              <w:t>保证给排水正常运行使用，保证排放的污水符合国家标准</w:t>
            </w:r>
          </w:p>
        </w:tc>
      </w:tr>
      <w:tr w14:paraId="54E5B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2" w:type="dxa"/>
            <w:vMerge w:val="restart"/>
            <w:vAlign w:val="center"/>
          </w:tcPr>
          <w:p w14:paraId="35B75239">
            <w:pPr>
              <w:jc w:val="center"/>
              <w:rPr>
                <w:rFonts w:ascii="宋体" w:hAnsi="宋体" w:cs="宋体"/>
                <w:szCs w:val="21"/>
              </w:rPr>
            </w:pPr>
            <w:r>
              <w:rPr>
                <w:rFonts w:hint="eastAsia" w:ascii="宋体" w:hAnsi="宋体" w:cs="宋体"/>
                <w:szCs w:val="21"/>
              </w:rPr>
              <w:t>2</w:t>
            </w:r>
          </w:p>
        </w:tc>
        <w:tc>
          <w:tcPr>
            <w:tcW w:w="1670" w:type="dxa"/>
            <w:vMerge w:val="restart"/>
            <w:vAlign w:val="center"/>
          </w:tcPr>
          <w:p w14:paraId="54DA23E8">
            <w:pPr>
              <w:jc w:val="center"/>
              <w:rPr>
                <w:rFonts w:ascii="宋体" w:hAnsi="宋体" w:cs="宋体"/>
                <w:szCs w:val="21"/>
              </w:rPr>
            </w:pPr>
            <w:r>
              <w:rPr>
                <w:rFonts w:hint="eastAsia" w:ascii="宋体" w:hAnsi="宋体" w:cs="宋体"/>
                <w:szCs w:val="21"/>
              </w:rPr>
              <w:t>设备仪表运营维修、保养制度</w:t>
            </w:r>
          </w:p>
        </w:tc>
        <w:tc>
          <w:tcPr>
            <w:tcW w:w="5734" w:type="dxa"/>
          </w:tcPr>
          <w:p w14:paraId="4FA054E5">
            <w:pPr>
              <w:spacing w:line="360" w:lineRule="auto"/>
              <w:rPr>
                <w:rFonts w:ascii="宋体" w:hAnsi="宋体" w:cs="宋体"/>
                <w:szCs w:val="21"/>
              </w:rPr>
            </w:pPr>
            <w:r>
              <w:rPr>
                <w:rFonts w:hint="eastAsia" w:ascii="宋体" w:hAnsi="宋体" w:cs="宋体"/>
                <w:szCs w:val="21"/>
              </w:rPr>
              <w:t>建有设备保养清单，明确设备保养内容及制度</w:t>
            </w:r>
          </w:p>
        </w:tc>
      </w:tr>
      <w:tr w14:paraId="342CB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2" w:type="dxa"/>
            <w:vMerge w:val="continue"/>
          </w:tcPr>
          <w:p w14:paraId="0BDD078C">
            <w:pPr>
              <w:rPr>
                <w:rFonts w:ascii="宋体" w:hAnsi="宋体" w:cs="宋体"/>
                <w:szCs w:val="21"/>
              </w:rPr>
            </w:pPr>
          </w:p>
        </w:tc>
        <w:tc>
          <w:tcPr>
            <w:tcW w:w="1670" w:type="dxa"/>
            <w:vMerge w:val="continue"/>
          </w:tcPr>
          <w:p w14:paraId="39772C99">
            <w:pPr>
              <w:rPr>
                <w:rFonts w:ascii="宋体" w:hAnsi="宋体" w:cs="宋体"/>
                <w:szCs w:val="21"/>
              </w:rPr>
            </w:pPr>
          </w:p>
        </w:tc>
        <w:tc>
          <w:tcPr>
            <w:tcW w:w="5734" w:type="dxa"/>
          </w:tcPr>
          <w:p w14:paraId="2BF6BFE7">
            <w:pPr>
              <w:spacing w:line="360" w:lineRule="auto"/>
              <w:rPr>
                <w:rFonts w:ascii="宋体" w:hAnsi="宋体" w:cs="宋体"/>
                <w:szCs w:val="21"/>
              </w:rPr>
            </w:pPr>
            <w:r>
              <w:rPr>
                <w:rFonts w:hint="eastAsia" w:ascii="宋体" w:hAnsi="宋体" w:cs="宋体"/>
                <w:szCs w:val="21"/>
              </w:rPr>
              <w:t>设备完好率记录和检修计划申报表</w:t>
            </w:r>
          </w:p>
        </w:tc>
      </w:tr>
      <w:tr w14:paraId="3CF3E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2" w:type="dxa"/>
            <w:vMerge w:val="continue"/>
          </w:tcPr>
          <w:p w14:paraId="338147D0">
            <w:pPr>
              <w:rPr>
                <w:rFonts w:ascii="宋体" w:hAnsi="宋体" w:cs="宋体"/>
                <w:szCs w:val="21"/>
              </w:rPr>
            </w:pPr>
          </w:p>
        </w:tc>
        <w:tc>
          <w:tcPr>
            <w:tcW w:w="1670" w:type="dxa"/>
            <w:vMerge w:val="continue"/>
          </w:tcPr>
          <w:p w14:paraId="01ACB32F">
            <w:pPr>
              <w:rPr>
                <w:rFonts w:ascii="宋体" w:hAnsi="宋体" w:cs="宋体"/>
                <w:szCs w:val="21"/>
              </w:rPr>
            </w:pPr>
          </w:p>
        </w:tc>
        <w:tc>
          <w:tcPr>
            <w:tcW w:w="5734" w:type="dxa"/>
          </w:tcPr>
          <w:p w14:paraId="5962C387">
            <w:pPr>
              <w:spacing w:line="360" w:lineRule="auto"/>
              <w:rPr>
                <w:rFonts w:ascii="宋体" w:hAnsi="宋体" w:cs="宋体"/>
                <w:szCs w:val="21"/>
              </w:rPr>
            </w:pPr>
            <w:r>
              <w:rPr>
                <w:rFonts w:hint="eastAsia" w:ascii="宋体" w:hAnsi="宋体" w:cs="宋体"/>
                <w:szCs w:val="21"/>
              </w:rPr>
              <w:t>设备保养记录，含材料消耗记录</w:t>
            </w:r>
          </w:p>
        </w:tc>
      </w:tr>
      <w:tr w14:paraId="0B718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2" w:type="dxa"/>
            <w:vMerge w:val="continue"/>
          </w:tcPr>
          <w:p w14:paraId="7400AD88">
            <w:pPr>
              <w:rPr>
                <w:rFonts w:ascii="宋体" w:hAnsi="宋体" w:cs="宋体"/>
                <w:szCs w:val="21"/>
              </w:rPr>
            </w:pPr>
          </w:p>
        </w:tc>
        <w:tc>
          <w:tcPr>
            <w:tcW w:w="1670" w:type="dxa"/>
            <w:vMerge w:val="continue"/>
          </w:tcPr>
          <w:p w14:paraId="590E422D">
            <w:pPr>
              <w:rPr>
                <w:rFonts w:ascii="宋体" w:hAnsi="宋体" w:cs="宋体"/>
                <w:szCs w:val="21"/>
              </w:rPr>
            </w:pPr>
          </w:p>
        </w:tc>
        <w:tc>
          <w:tcPr>
            <w:tcW w:w="5734" w:type="dxa"/>
          </w:tcPr>
          <w:p w14:paraId="130D9749">
            <w:pPr>
              <w:spacing w:line="360" w:lineRule="auto"/>
              <w:rPr>
                <w:rFonts w:ascii="宋体" w:hAnsi="宋体" w:cs="宋体"/>
                <w:szCs w:val="21"/>
              </w:rPr>
            </w:pPr>
            <w:r>
              <w:rPr>
                <w:rFonts w:hint="eastAsia" w:ascii="宋体" w:hAnsi="宋体" w:cs="宋体"/>
                <w:szCs w:val="21"/>
              </w:rPr>
              <w:t>仪表保养检验记录</w:t>
            </w:r>
          </w:p>
        </w:tc>
      </w:tr>
      <w:tr w14:paraId="40115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2" w:type="dxa"/>
            <w:vMerge w:val="continue"/>
          </w:tcPr>
          <w:p w14:paraId="1CEDE521">
            <w:pPr>
              <w:rPr>
                <w:rFonts w:ascii="宋体" w:hAnsi="宋体" w:cs="宋体"/>
                <w:szCs w:val="21"/>
              </w:rPr>
            </w:pPr>
          </w:p>
        </w:tc>
        <w:tc>
          <w:tcPr>
            <w:tcW w:w="1670" w:type="dxa"/>
            <w:vMerge w:val="continue"/>
          </w:tcPr>
          <w:p w14:paraId="6D7BE453">
            <w:pPr>
              <w:rPr>
                <w:rFonts w:ascii="宋体" w:hAnsi="宋体" w:cs="宋体"/>
                <w:szCs w:val="21"/>
              </w:rPr>
            </w:pPr>
          </w:p>
        </w:tc>
        <w:tc>
          <w:tcPr>
            <w:tcW w:w="5734" w:type="dxa"/>
          </w:tcPr>
          <w:p w14:paraId="44F32CFA">
            <w:pPr>
              <w:spacing w:line="360" w:lineRule="auto"/>
              <w:rPr>
                <w:rFonts w:ascii="宋体" w:hAnsi="宋体" w:cs="宋体"/>
                <w:szCs w:val="21"/>
              </w:rPr>
            </w:pPr>
            <w:r>
              <w:rPr>
                <w:rFonts w:hint="eastAsia" w:ascii="宋体" w:hAnsi="宋体" w:cs="宋体"/>
                <w:szCs w:val="21"/>
              </w:rPr>
              <w:t>电气设备的运营及安全可靠性记录</w:t>
            </w:r>
          </w:p>
        </w:tc>
      </w:tr>
      <w:tr w14:paraId="33A13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2" w:type="dxa"/>
            <w:vMerge w:val="continue"/>
          </w:tcPr>
          <w:p w14:paraId="7363394E">
            <w:pPr>
              <w:rPr>
                <w:rFonts w:ascii="宋体" w:hAnsi="宋体" w:cs="宋体"/>
                <w:szCs w:val="21"/>
              </w:rPr>
            </w:pPr>
          </w:p>
        </w:tc>
        <w:tc>
          <w:tcPr>
            <w:tcW w:w="1670" w:type="dxa"/>
            <w:vMerge w:val="continue"/>
          </w:tcPr>
          <w:p w14:paraId="409A5401">
            <w:pPr>
              <w:rPr>
                <w:rFonts w:ascii="宋体" w:hAnsi="宋体" w:cs="宋体"/>
                <w:szCs w:val="21"/>
              </w:rPr>
            </w:pPr>
          </w:p>
        </w:tc>
        <w:tc>
          <w:tcPr>
            <w:tcW w:w="5734" w:type="dxa"/>
          </w:tcPr>
          <w:p w14:paraId="7B958F23">
            <w:pPr>
              <w:spacing w:line="360" w:lineRule="auto"/>
              <w:rPr>
                <w:rFonts w:ascii="宋体" w:hAnsi="宋体" w:cs="宋体"/>
                <w:szCs w:val="21"/>
              </w:rPr>
            </w:pPr>
            <w:r>
              <w:rPr>
                <w:rFonts w:hint="eastAsia" w:ascii="宋体" w:hAnsi="宋体" w:cs="宋体"/>
                <w:szCs w:val="21"/>
              </w:rPr>
              <w:t>制定完善的设备仪表运营完好性考核和奖惩制度</w:t>
            </w:r>
          </w:p>
        </w:tc>
      </w:tr>
      <w:tr w14:paraId="6D87B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2" w:type="dxa"/>
            <w:vMerge w:val="restart"/>
            <w:vAlign w:val="center"/>
          </w:tcPr>
          <w:p w14:paraId="4BC821BD">
            <w:pPr>
              <w:jc w:val="center"/>
              <w:rPr>
                <w:rFonts w:ascii="宋体" w:hAnsi="宋体" w:cs="宋体"/>
                <w:szCs w:val="21"/>
              </w:rPr>
            </w:pPr>
            <w:r>
              <w:rPr>
                <w:rFonts w:hint="eastAsia" w:ascii="宋体" w:hAnsi="宋体" w:cs="宋体"/>
                <w:szCs w:val="21"/>
              </w:rPr>
              <w:t>3</w:t>
            </w:r>
          </w:p>
        </w:tc>
        <w:tc>
          <w:tcPr>
            <w:tcW w:w="1670" w:type="dxa"/>
            <w:vMerge w:val="restart"/>
            <w:vAlign w:val="center"/>
          </w:tcPr>
          <w:p w14:paraId="57C32E38">
            <w:pPr>
              <w:jc w:val="center"/>
              <w:rPr>
                <w:rFonts w:ascii="宋体" w:hAnsi="宋体" w:cs="宋体"/>
                <w:szCs w:val="21"/>
              </w:rPr>
            </w:pPr>
            <w:r>
              <w:rPr>
                <w:rFonts w:hint="eastAsia" w:ascii="宋体" w:hAnsi="宋体" w:cs="宋体"/>
                <w:szCs w:val="21"/>
              </w:rPr>
              <w:t>现场管理</w:t>
            </w:r>
          </w:p>
        </w:tc>
        <w:tc>
          <w:tcPr>
            <w:tcW w:w="5734" w:type="dxa"/>
          </w:tcPr>
          <w:p w14:paraId="75D0FD05">
            <w:pPr>
              <w:spacing w:line="360" w:lineRule="auto"/>
              <w:rPr>
                <w:rFonts w:ascii="宋体" w:hAnsi="宋体" w:cs="宋体"/>
                <w:szCs w:val="21"/>
              </w:rPr>
            </w:pPr>
            <w:r>
              <w:rPr>
                <w:rFonts w:hint="eastAsia" w:ascii="宋体" w:hAnsi="宋体" w:cs="宋体"/>
                <w:szCs w:val="21"/>
              </w:rPr>
              <w:t>加强日常检查巡视，防止跑、冒、滴、漏</w:t>
            </w:r>
          </w:p>
        </w:tc>
      </w:tr>
      <w:tr w14:paraId="177BC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2" w:type="dxa"/>
            <w:vMerge w:val="continue"/>
          </w:tcPr>
          <w:p w14:paraId="09B0C7E1">
            <w:pPr>
              <w:rPr>
                <w:rFonts w:ascii="宋体" w:hAnsi="宋体" w:cs="宋体"/>
                <w:szCs w:val="21"/>
              </w:rPr>
            </w:pPr>
          </w:p>
        </w:tc>
        <w:tc>
          <w:tcPr>
            <w:tcW w:w="1670" w:type="dxa"/>
            <w:vMerge w:val="continue"/>
          </w:tcPr>
          <w:p w14:paraId="5DF0B085">
            <w:pPr>
              <w:rPr>
                <w:rFonts w:ascii="宋体" w:hAnsi="宋体" w:cs="宋体"/>
                <w:szCs w:val="21"/>
              </w:rPr>
            </w:pPr>
          </w:p>
        </w:tc>
        <w:tc>
          <w:tcPr>
            <w:tcW w:w="5734" w:type="dxa"/>
          </w:tcPr>
          <w:p w14:paraId="75B0B77A">
            <w:pPr>
              <w:spacing w:line="360" w:lineRule="auto"/>
              <w:rPr>
                <w:rFonts w:ascii="宋体" w:hAnsi="宋体" w:cs="宋体"/>
                <w:szCs w:val="21"/>
              </w:rPr>
            </w:pPr>
            <w:r>
              <w:rPr>
                <w:rFonts w:hint="eastAsia" w:ascii="宋体" w:hAnsi="宋体" w:cs="宋体"/>
                <w:szCs w:val="21"/>
              </w:rPr>
              <w:t>对管路、水箱、阀门等进行日常维护和定期检修</w:t>
            </w:r>
          </w:p>
        </w:tc>
      </w:tr>
      <w:tr w14:paraId="6417D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2" w:type="dxa"/>
            <w:vMerge w:val="continue"/>
          </w:tcPr>
          <w:p w14:paraId="02E8F358">
            <w:pPr>
              <w:rPr>
                <w:rFonts w:ascii="宋体" w:hAnsi="宋体" w:cs="宋体"/>
                <w:szCs w:val="21"/>
              </w:rPr>
            </w:pPr>
          </w:p>
        </w:tc>
        <w:tc>
          <w:tcPr>
            <w:tcW w:w="1670" w:type="dxa"/>
            <w:vMerge w:val="continue"/>
          </w:tcPr>
          <w:p w14:paraId="3DCC226D">
            <w:pPr>
              <w:rPr>
                <w:rFonts w:ascii="宋体" w:hAnsi="宋体" w:cs="宋体"/>
                <w:szCs w:val="21"/>
              </w:rPr>
            </w:pPr>
          </w:p>
        </w:tc>
        <w:tc>
          <w:tcPr>
            <w:tcW w:w="5734" w:type="dxa"/>
          </w:tcPr>
          <w:p w14:paraId="5B5196ED">
            <w:pPr>
              <w:spacing w:line="360" w:lineRule="auto"/>
              <w:rPr>
                <w:rFonts w:ascii="宋体" w:hAnsi="宋体" w:cs="宋体"/>
                <w:szCs w:val="21"/>
              </w:rPr>
            </w:pPr>
            <w:r>
              <w:rPr>
                <w:rFonts w:hint="eastAsia" w:ascii="宋体" w:hAnsi="宋体" w:cs="宋体"/>
                <w:szCs w:val="21"/>
              </w:rPr>
              <w:t>确保门、窗、地面、玻璃等设施无破损、残缺，能正常使用</w:t>
            </w:r>
          </w:p>
        </w:tc>
      </w:tr>
      <w:tr w14:paraId="7DAFD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2" w:type="dxa"/>
            <w:vMerge w:val="continue"/>
          </w:tcPr>
          <w:p w14:paraId="02D6126F">
            <w:pPr>
              <w:rPr>
                <w:rFonts w:ascii="宋体" w:hAnsi="宋体" w:cs="宋体"/>
                <w:szCs w:val="21"/>
              </w:rPr>
            </w:pPr>
          </w:p>
        </w:tc>
        <w:tc>
          <w:tcPr>
            <w:tcW w:w="1670" w:type="dxa"/>
            <w:vMerge w:val="continue"/>
          </w:tcPr>
          <w:p w14:paraId="698DCBB8">
            <w:pPr>
              <w:rPr>
                <w:rFonts w:ascii="宋体" w:hAnsi="宋体" w:cs="宋体"/>
                <w:szCs w:val="21"/>
              </w:rPr>
            </w:pPr>
          </w:p>
        </w:tc>
        <w:tc>
          <w:tcPr>
            <w:tcW w:w="5734" w:type="dxa"/>
          </w:tcPr>
          <w:p w14:paraId="7FCD2FCD">
            <w:pPr>
              <w:spacing w:line="360" w:lineRule="auto"/>
              <w:rPr>
                <w:rFonts w:ascii="宋体" w:hAnsi="宋体" w:cs="宋体"/>
                <w:szCs w:val="21"/>
              </w:rPr>
            </w:pPr>
            <w:r>
              <w:rPr>
                <w:rFonts w:hint="eastAsia" w:ascii="宋体" w:hAnsi="宋体" w:cs="宋体"/>
                <w:szCs w:val="21"/>
              </w:rPr>
              <w:t>定期对污水处理设施进行清通、养护及清除污垢，保证排水系统通畅</w:t>
            </w:r>
          </w:p>
        </w:tc>
      </w:tr>
      <w:tr w14:paraId="68B6D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2" w:type="dxa"/>
            <w:vMerge w:val="continue"/>
          </w:tcPr>
          <w:p w14:paraId="47A9514F">
            <w:pPr>
              <w:rPr>
                <w:rFonts w:ascii="宋体" w:hAnsi="宋体" w:cs="宋体"/>
                <w:szCs w:val="21"/>
              </w:rPr>
            </w:pPr>
          </w:p>
        </w:tc>
        <w:tc>
          <w:tcPr>
            <w:tcW w:w="1670" w:type="dxa"/>
            <w:vMerge w:val="continue"/>
          </w:tcPr>
          <w:p w14:paraId="45A13152">
            <w:pPr>
              <w:rPr>
                <w:rFonts w:ascii="宋体" w:hAnsi="宋体" w:cs="宋体"/>
                <w:szCs w:val="21"/>
              </w:rPr>
            </w:pPr>
          </w:p>
        </w:tc>
        <w:tc>
          <w:tcPr>
            <w:tcW w:w="5734" w:type="dxa"/>
          </w:tcPr>
          <w:p w14:paraId="53EDE6A9">
            <w:pPr>
              <w:spacing w:line="360" w:lineRule="auto"/>
              <w:rPr>
                <w:rFonts w:ascii="宋体" w:hAnsi="宋体" w:cs="宋体"/>
                <w:szCs w:val="21"/>
              </w:rPr>
            </w:pPr>
            <w:r>
              <w:rPr>
                <w:rFonts w:hint="eastAsia" w:ascii="宋体" w:hAnsi="宋体" w:cs="宋体"/>
                <w:szCs w:val="21"/>
              </w:rPr>
              <w:t>对电气设备定期巡视维护和重点检测</w:t>
            </w:r>
          </w:p>
        </w:tc>
      </w:tr>
      <w:tr w14:paraId="1EA73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2" w:type="dxa"/>
            <w:vMerge w:val="continue"/>
          </w:tcPr>
          <w:p w14:paraId="48D754D3">
            <w:pPr>
              <w:rPr>
                <w:rFonts w:ascii="宋体" w:hAnsi="宋体" w:cs="宋体"/>
                <w:szCs w:val="21"/>
              </w:rPr>
            </w:pPr>
          </w:p>
        </w:tc>
        <w:tc>
          <w:tcPr>
            <w:tcW w:w="1670" w:type="dxa"/>
            <w:vMerge w:val="continue"/>
          </w:tcPr>
          <w:p w14:paraId="07DE0BC8">
            <w:pPr>
              <w:rPr>
                <w:rFonts w:ascii="宋体" w:hAnsi="宋体" w:cs="宋体"/>
                <w:szCs w:val="21"/>
              </w:rPr>
            </w:pPr>
          </w:p>
        </w:tc>
        <w:tc>
          <w:tcPr>
            <w:tcW w:w="5734" w:type="dxa"/>
          </w:tcPr>
          <w:p w14:paraId="6C76A50F">
            <w:pPr>
              <w:spacing w:line="360" w:lineRule="auto"/>
              <w:rPr>
                <w:rFonts w:ascii="宋体" w:hAnsi="宋体" w:cs="宋体"/>
                <w:szCs w:val="21"/>
              </w:rPr>
            </w:pPr>
            <w:r>
              <w:rPr>
                <w:rFonts w:hint="eastAsia" w:ascii="宋体" w:hAnsi="宋体" w:cs="宋体"/>
                <w:szCs w:val="21"/>
              </w:rPr>
              <w:t>加强日常维护检修，公共使用的照明灯具、线路、开关保证完好，确保用电安全；</w:t>
            </w:r>
          </w:p>
        </w:tc>
      </w:tr>
      <w:tr w14:paraId="7AF28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2" w:type="dxa"/>
            <w:vMerge w:val="continue"/>
          </w:tcPr>
          <w:p w14:paraId="0F6F8381">
            <w:pPr>
              <w:rPr>
                <w:rFonts w:ascii="宋体" w:hAnsi="宋体" w:cs="宋体"/>
                <w:szCs w:val="21"/>
              </w:rPr>
            </w:pPr>
          </w:p>
        </w:tc>
        <w:tc>
          <w:tcPr>
            <w:tcW w:w="1670" w:type="dxa"/>
            <w:vMerge w:val="continue"/>
          </w:tcPr>
          <w:p w14:paraId="4414A2B6">
            <w:pPr>
              <w:rPr>
                <w:rFonts w:ascii="宋体" w:hAnsi="宋体" w:cs="宋体"/>
                <w:szCs w:val="21"/>
              </w:rPr>
            </w:pPr>
          </w:p>
        </w:tc>
        <w:tc>
          <w:tcPr>
            <w:tcW w:w="5734" w:type="dxa"/>
          </w:tcPr>
          <w:p w14:paraId="66B2F875">
            <w:pPr>
              <w:spacing w:line="360" w:lineRule="auto"/>
              <w:rPr>
                <w:rFonts w:ascii="宋体" w:hAnsi="宋体" w:cs="宋体"/>
                <w:szCs w:val="21"/>
              </w:rPr>
            </w:pPr>
            <w:r>
              <w:rPr>
                <w:rFonts w:hint="eastAsia" w:ascii="宋体" w:hAnsi="宋体" w:cs="宋体"/>
                <w:szCs w:val="21"/>
              </w:rPr>
              <w:t>及时发现并解决故障，零修合格率100%，保证设备完好率95%以上。</w:t>
            </w:r>
          </w:p>
        </w:tc>
      </w:tr>
      <w:tr w14:paraId="406C7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2" w:type="dxa"/>
            <w:vAlign w:val="center"/>
          </w:tcPr>
          <w:p w14:paraId="442F696D">
            <w:pPr>
              <w:jc w:val="center"/>
              <w:rPr>
                <w:rFonts w:ascii="宋体" w:hAnsi="宋体" w:cs="宋体"/>
                <w:szCs w:val="21"/>
              </w:rPr>
            </w:pPr>
            <w:r>
              <w:rPr>
                <w:rFonts w:hint="eastAsia" w:ascii="宋体" w:hAnsi="宋体" w:cs="宋体"/>
                <w:szCs w:val="21"/>
              </w:rPr>
              <w:t>4</w:t>
            </w:r>
          </w:p>
        </w:tc>
        <w:tc>
          <w:tcPr>
            <w:tcW w:w="1670" w:type="dxa"/>
            <w:vAlign w:val="center"/>
          </w:tcPr>
          <w:p w14:paraId="69EC4167">
            <w:pPr>
              <w:jc w:val="center"/>
              <w:rPr>
                <w:rFonts w:ascii="宋体" w:hAnsi="宋体" w:cs="宋体"/>
                <w:szCs w:val="21"/>
              </w:rPr>
            </w:pPr>
            <w:r>
              <w:rPr>
                <w:rFonts w:hint="eastAsia" w:ascii="宋体" w:hAnsi="宋体" w:cs="宋体"/>
                <w:szCs w:val="21"/>
              </w:rPr>
              <w:t>资料管理</w:t>
            </w:r>
          </w:p>
        </w:tc>
        <w:tc>
          <w:tcPr>
            <w:tcW w:w="5734" w:type="dxa"/>
          </w:tcPr>
          <w:p w14:paraId="2795FF36">
            <w:pPr>
              <w:spacing w:line="360" w:lineRule="auto"/>
              <w:rPr>
                <w:rFonts w:ascii="宋体" w:hAnsi="宋体" w:cs="宋体"/>
                <w:szCs w:val="21"/>
              </w:rPr>
            </w:pPr>
            <w:r>
              <w:rPr>
                <w:rFonts w:hint="eastAsia" w:ascii="宋体" w:hAnsi="宋体" w:cs="宋体"/>
                <w:szCs w:val="21"/>
              </w:rPr>
              <w:t>必须保证交给院方的各项档案资料的完整性、完好性。</w:t>
            </w:r>
          </w:p>
        </w:tc>
      </w:tr>
      <w:tr w14:paraId="081B9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2" w:type="dxa"/>
            <w:vAlign w:val="center"/>
          </w:tcPr>
          <w:p w14:paraId="1C5ACE4A">
            <w:pPr>
              <w:jc w:val="center"/>
              <w:rPr>
                <w:rFonts w:ascii="宋体" w:hAnsi="宋体" w:cs="宋体"/>
                <w:szCs w:val="21"/>
              </w:rPr>
            </w:pPr>
            <w:r>
              <w:rPr>
                <w:rFonts w:hint="eastAsia" w:ascii="宋体" w:hAnsi="宋体" w:cs="宋体"/>
                <w:szCs w:val="21"/>
              </w:rPr>
              <w:t>5</w:t>
            </w:r>
          </w:p>
        </w:tc>
        <w:tc>
          <w:tcPr>
            <w:tcW w:w="1670" w:type="dxa"/>
            <w:vAlign w:val="center"/>
          </w:tcPr>
          <w:p w14:paraId="62A89E69">
            <w:pPr>
              <w:jc w:val="center"/>
              <w:rPr>
                <w:rFonts w:ascii="宋体" w:hAnsi="宋体" w:cs="宋体"/>
                <w:szCs w:val="21"/>
              </w:rPr>
            </w:pPr>
            <w:r>
              <w:rPr>
                <w:rFonts w:hint="eastAsia" w:ascii="宋体" w:hAnsi="宋体" w:cs="宋体"/>
                <w:szCs w:val="21"/>
              </w:rPr>
              <w:t>服务受理</w:t>
            </w:r>
          </w:p>
        </w:tc>
        <w:tc>
          <w:tcPr>
            <w:tcW w:w="5734" w:type="dxa"/>
          </w:tcPr>
          <w:p w14:paraId="79D1FE74">
            <w:pPr>
              <w:spacing w:line="360" w:lineRule="auto"/>
              <w:rPr>
                <w:rFonts w:ascii="宋体" w:hAnsi="宋体" w:cs="宋体"/>
                <w:szCs w:val="21"/>
              </w:rPr>
            </w:pPr>
            <w:r>
              <w:rPr>
                <w:rFonts w:hint="eastAsia" w:ascii="宋体" w:hAnsi="宋体" w:cs="宋体"/>
                <w:szCs w:val="21"/>
              </w:rPr>
              <w:t>保证有效投诉处理并整改率100%；保证管理服务用户总满意率90%以上。</w:t>
            </w:r>
          </w:p>
        </w:tc>
      </w:tr>
    </w:tbl>
    <w:p w14:paraId="26D41834">
      <w:pPr>
        <w:numPr>
          <w:ilvl w:val="0"/>
          <w:numId w:val="9"/>
        </w:numPr>
        <w:spacing w:line="360" w:lineRule="auto"/>
        <w:ind w:firstLine="420" w:firstLineChars="200"/>
        <w:rPr>
          <w:rFonts w:ascii="宋体" w:hAnsi="宋体" w:cs="宋体"/>
          <w:szCs w:val="21"/>
        </w:rPr>
      </w:pPr>
      <w:r>
        <w:rPr>
          <w:rFonts w:hint="eastAsia" w:ascii="宋体" w:hAnsi="宋体" w:cs="宋体"/>
          <w:szCs w:val="21"/>
        </w:rPr>
        <w:t>项目人员要求</w:t>
      </w:r>
    </w:p>
    <w:tbl>
      <w:tblPr>
        <w:tblStyle w:val="18"/>
        <w:tblW w:w="504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80"/>
        <w:gridCol w:w="1196"/>
        <w:gridCol w:w="5496"/>
      </w:tblGrid>
      <w:tr w14:paraId="4C4B0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1003" w:type="pct"/>
            <w:vAlign w:val="center"/>
          </w:tcPr>
          <w:p w14:paraId="31B13E16">
            <w:pPr>
              <w:spacing w:line="320" w:lineRule="exact"/>
              <w:jc w:val="center"/>
              <w:rPr>
                <w:rFonts w:ascii="宋体" w:hAnsi="宋体" w:cs="宋体"/>
                <w:b/>
                <w:bCs/>
                <w:szCs w:val="21"/>
              </w:rPr>
            </w:pPr>
            <w:r>
              <w:rPr>
                <w:rFonts w:hint="eastAsia" w:ascii="宋体" w:hAnsi="宋体" w:cs="宋体"/>
                <w:b/>
                <w:bCs/>
                <w:szCs w:val="21"/>
              </w:rPr>
              <w:t>岗位</w:t>
            </w:r>
          </w:p>
        </w:tc>
        <w:tc>
          <w:tcPr>
            <w:tcW w:w="714" w:type="pct"/>
            <w:vAlign w:val="center"/>
          </w:tcPr>
          <w:p w14:paraId="77A7987F">
            <w:pPr>
              <w:spacing w:line="320" w:lineRule="exact"/>
              <w:jc w:val="center"/>
              <w:rPr>
                <w:rFonts w:ascii="宋体" w:hAnsi="宋体" w:cs="宋体"/>
                <w:b/>
                <w:bCs/>
                <w:szCs w:val="21"/>
              </w:rPr>
            </w:pPr>
            <w:r>
              <w:rPr>
                <w:rFonts w:hint="eastAsia" w:ascii="宋体" w:hAnsi="宋体" w:cs="宋体"/>
                <w:b/>
                <w:bCs/>
                <w:szCs w:val="21"/>
              </w:rPr>
              <w:t>人数</w:t>
            </w:r>
          </w:p>
        </w:tc>
        <w:tc>
          <w:tcPr>
            <w:tcW w:w="3281" w:type="pct"/>
            <w:vAlign w:val="center"/>
          </w:tcPr>
          <w:p w14:paraId="73923D6A">
            <w:pPr>
              <w:spacing w:line="320" w:lineRule="exact"/>
              <w:jc w:val="center"/>
              <w:rPr>
                <w:rFonts w:ascii="宋体" w:hAnsi="宋体" w:cs="宋体"/>
                <w:b/>
                <w:bCs/>
                <w:szCs w:val="21"/>
              </w:rPr>
            </w:pPr>
            <w:r>
              <w:rPr>
                <w:rFonts w:hint="eastAsia" w:ascii="宋体" w:hAnsi="宋体" w:cs="宋体"/>
                <w:b/>
                <w:bCs/>
                <w:szCs w:val="21"/>
              </w:rPr>
              <w:t>人员基本要求</w:t>
            </w:r>
          </w:p>
        </w:tc>
      </w:tr>
      <w:tr w14:paraId="10E14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3" w:type="pct"/>
            <w:vAlign w:val="center"/>
          </w:tcPr>
          <w:p w14:paraId="74582A85">
            <w:pPr>
              <w:spacing w:line="320" w:lineRule="exact"/>
              <w:jc w:val="center"/>
              <w:rPr>
                <w:rFonts w:ascii="宋体" w:hAnsi="宋体" w:cs="宋体"/>
                <w:szCs w:val="21"/>
              </w:rPr>
            </w:pPr>
            <w:r>
              <w:rPr>
                <w:rFonts w:hint="eastAsia" w:ascii="宋体" w:hAnsi="宋体" w:cs="宋体"/>
                <w:szCs w:val="21"/>
              </w:rPr>
              <w:t>污水设备运维人员</w:t>
            </w:r>
          </w:p>
        </w:tc>
        <w:tc>
          <w:tcPr>
            <w:tcW w:w="714" w:type="pct"/>
            <w:vAlign w:val="center"/>
          </w:tcPr>
          <w:p w14:paraId="75641D42">
            <w:pPr>
              <w:spacing w:line="320" w:lineRule="exact"/>
              <w:jc w:val="center"/>
              <w:rPr>
                <w:rFonts w:ascii="宋体" w:hAnsi="宋体" w:cs="宋体"/>
                <w:szCs w:val="21"/>
              </w:rPr>
            </w:pPr>
            <w:r>
              <w:rPr>
                <w:rFonts w:hint="eastAsia" w:ascii="宋体" w:hAnsi="宋体" w:cs="宋体"/>
                <w:szCs w:val="21"/>
              </w:rPr>
              <w:t>3</w:t>
            </w:r>
          </w:p>
        </w:tc>
        <w:tc>
          <w:tcPr>
            <w:tcW w:w="3281" w:type="pct"/>
            <w:vAlign w:val="center"/>
          </w:tcPr>
          <w:p w14:paraId="1CC37161">
            <w:pPr>
              <w:spacing w:line="320" w:lineRule="exact"/>
              <w:rPr>
                <w:rFonts w:ascii="宋体" w:hAnsi="宋体" w:cs="宋体"/>
                <w:szCs w:val="21"/>
              </w:rPr>
            </w:pPr>
            <w:r>
              <w:rPr>
                <w:rFonts w:hint="eastAsia" w:ascii="宋体" w:hAnsi="宋体" w:cs="宋体"/>
                <w:szCs w:val="21"/>
              </w:rPr>
              <w:t>身体健康，必须经过严格培训考核，具有污废水处理工证；必须具有处理突发事故的能力。</w:t>
            </w:r>
          </w:p>
        </w:tc>
      </w:tr>
      <w:tr w14:paraId="42B94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3" w:type="pct"/>
            <w:vAlign w:val="center"/>
          </w:tcPr>
          <w:p w14:paraId="2D9C45BE">
            <w:pPr>
              <w:spacing w:line="320" w:lineRule="exact"/>
              <w:jc w:val="center"/>
              <w:rPr>
                <w:rFonts w:ascii="宋体" w:hAnsi="宋体" w:cs="宋体"/>
                <w:szCs w:val="21"/>
              </w:rPr>
            </w:pPr>
            <w:r>
              <w:rPr>
                <w:rFonts w:hint="eastAsia" w:ascii="宋体" w:hAnsi="宋体" w:cs="宋体"/>
                <w:szCs w:val="21"/>
              </w:rPr>
              <w:t>电气机修人员</w:t>
            </w:r>
          </w:p>
        </w:tc>
        <w:tc>
          <w:tcPr>
            <w:tcW w:w="714" w:type="pct"/>
            <w:vAlign w:val="center"/>
          </w:tcPr>
          <w:p w14:paraId="5F2C42BE">
            <w:pPr>
              <w:spacing w:line="320" w:lineRule="exact"/>
              <w:jc w:val="center"/>
              <w:rPr>
                <w:rFonts w:ascii="宋体" w:hAnsi="宋体" w:cs="宋体"/>
                <w:szCs w:val="21"/>
              </w:rPr>
            </w:pPr>
            <w:r>
              <w:rPr>
                <w:rFonts w:hint="eastAsia" w:ascii="宋体" w:hAnsi="宋体" w:cs="宋体"/>
                <w:szCs w:val="21"/>
              </w:rPr>
              <w:t>1（兼职）</w:t>
            </w:r>
          </w:p>
        </w:tc>
        <w:tc>
          <w:tcPr>
            <w:tcW w:w="3281" w:type="pct"/>
            <w:vAlign w:val="center"/>
          </w:tcPr>
          <w:p w14:paraId="4009601F">
            <w:pPr>
              <w:spacing w:line="320" w:lineRule="exact"/>
              <w:rPr>
                <w:rFonts w:ascii="宋体" w:hAnsi="宋体" w:cs="宋体"/>
                <w:szCs w:val="21"/>
              </w:rPr>
            </w:pPr>
            <w:r>
              <w:rPr>
                <w:rFonts w:hint="eastAsia" w:ascii="宋体" w:hAnsi="宋体" w:cs="宋体"/>
                <w:szCs w:val="21"/>
              </w:rPr>
              <w:t>具有电工证，具有机电维修能力。</w:t>
            </w:r>
          </w:p>
        </w:tc>
      </w:tr>
      <w:tr w14:paraId="20335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3" w:type="pct"/>
            <w:vAlign w:val="center"/>
          </w:tcPr>
          <w:p w14:paraId="15D50187">
            <w:pPr>
              <w:spacing w:line="320" w:lineRule="exact"/>
              <w:jc w:val="center"/>
              <w:rPr>
                <w:rFonts w:ascii="宋体" w:hAnsi="宋体" w:cs="宋体"/>
                <w:szCs w:val="21"/>
              </w:rPr>
            </w:pPr>
            <w:r>
              <w:rPr>
                <w:rFonts w:hint="eastAsia" w:ascii="宋体" w:hAnsi="宋体" w:cs="宋体"/>
                <w:szCs w:val="21"/>
              </w:rPr>
              <w:t>环保主任管理人员</w:t>
            </w:r>
          </w:p>
        </w:tc>
        <w:tc>
          <w:tcPr>
            <w:tcW w:w="714" w:type="pct"/>
            <w:vAlign w:val="center"/>
          </w:tcPr>
          <w:p w14:paraId="27A847C6">
            <w:pPr>
              <w:spacing w:line="320" w:lineRule="exact"/>
              <w:jc w:val="center"/>
              <w:rPr>
                <w:rFonts w:ascii="宋体" w:hAnsi="宋体" w:cs="宋体"/>
                <w:szCs w:val="21"/>
              </w:rPr>
            </w:pPr>
            <w:r>
              <w:rPr>
                <w:rFonts w:hint="eastAsia" w:ascii="宋体" w:hAnsi="宋体" w:cs="宋体"/>
                <w:szCs w:val="21"/>
              </w:rPr>
              <w:t>1（兼职）</w:t>
            </w:r>
          </w:p>
        </w:tc>
        <w:tc>
          <w:tcPr>
            <w:tcW w:w="3281" w:type="pct"/>
            <w:vAlign w:val="center"/>
          </w:tcPr>
          <w:p w14:paraId="7DD64573">
            <w:pPr>
              <w:spacing w:line="320" w:lineRule="exact"/>
              <w:rPr>
                <w:rFonts w:ascii="宋体" w:hAnsi="宋体" w:cs="宋体"/>
                <w:szCs w:val="21"/>
              </w:rPr>
            </w:pPr>
            <w:r>
              <w:rPr>
                <w:rFonts w:hint="eastAsia" w:ascii="宋体" w:hAnsi="宋体" w:cs="宋体"/>
                <w:szCs w:val="21"/>
              </w:rPr>
              <w:t>身体健康，环保相关专业本科以上学历或者具备环保主任培训证；全面负责污水站的运行管理；负责污水站所有制度的制定和监督执行；负责与总公司、院方及生态环境部门的协调沟通。</w:t>
            </w:r>
          </w:p>
        </w:tc>
      </w:tr>
    </w:tbl>
    <w:p w14:paraId="6D2DF322">
      <w:pPr>
        <w:widowControl/>
        <w:numPr>
          <w:ilvl w:val="0"/>
          <w:numId w:val="9"/>
        </w:numPr>
        <w:spacing w:line="360" w:lineRule="auto"/>
        <w:ind w:firstLine="420" w:firstLineChars="200"/>
        <w:jc w:val="left"/>
        <w:rPr>
          <w:rFonts w:ascii="宋体" w:hAnsi="宋体" w:cs="宋体"/>
          <w:szCs w:val="21"/>
        </w:rPr>
      </w:pPr>
      <w:r>
        <w:rPr>
          <w:rFonts w:hint="eastAsia" w:ascii="宋体" w:hAnsi="宋体" w:cs="宋体"/>
          <w:szCs w:val="21"/>
        </w:rPr>
        <w:t>采购人有权在服务范围内对中标人的工作职责、工作任务、服务区域、服务标准提出具体要求。并对中标人履行本项目服务的具体实施情况进行监督、跟进、检查。</w:t>
      </w:r>
    </w:p>
    <w:p w14:paraId="16D548B4">
      <w:pPr>
        <w:widowControl/>
        <w:numPr>
          <w:ilvl w:val="0"/>
          <w:numId w:val="9"/>
        </w:numPr>
        <w:spacing w:line="360" w:lineRule="auto"/>
        <w:ind w:firstLine="420" w:firstLineChars="200"/>
        <w:rPr>
          <w:rFonts w:ascii="宋体" w:hAnsi="宋体" w:cs="宋体"/>
          <w:szCs w:val="21"/>
        </w:rPr>
      </w:pPr>
      <w:r>
        <w:rPr>
          <w:rFonts w:hint="eastAsia" w:ascii="宋体" w:hAnsi="宋体" w:cs="宋体"/>
          <w:szCs w:val="21"/>
        </w:rPr>
        <w:t>采购人有权根据具体情况及自身业务发展的需要，对中标人提供的服务提出指导性意见。</w:t>
      </w:r>
    </w:p>
    <w:p w14:paraId="0F52E3DB">
      <w:pPr>
        <w:widowControl/>
        <w:numPr>
          <w:ilvl w:val="0"/>
          <w:numId w:val="9"/>
        </w:numPr>
        <w:spacing w:line="360" w:lineRule="auto"/>
        <w:ind w:firstLine="420" w:firstLineChars="200"/>
        <w:rPr>
          <w:rFonts w:ascii="宋体" w:hAnsi="宋体" w:cs="宋体"/>
          <w:szCs w:val="21"/>
        </w:rPr>
      </w:pPr>
      <w:r>
        <w:rPr>
          <w:rFonts w:hint="eastAsia" w:ascii="宋体" w:hAnsi="宋体" w:cs="宋体"/>
          <w:szCs w:val="21"/>
        </w:rPr>
        <w:t>中标人在服务期内遵守采购人的工作标准和管理办法，自觉接受采购人的管理、指导和监督。</w:t>
      </w:r>
    </w:p>
    <w:p w14:paraId="79FC0074">
      <w:pPr>
        <w:widowControl/>
        <w:numPr>
          <w:ilvl w:val="0"/>
          <w:numId w:val="9"/>
        </w:numPr>
        <w:spacing w:line="360" w:lineRule="auto"/>
        <w:ind w:firstLine="420" w:firstLineChars="200"/>
        <w:rPr>
          <w:rFonts w:ascii="宋体" w:hAnsi="宋体" w:cs="宋体"/>
          <w:szCs w:val="21"/>
        </w:rPr>
      </w:pPr>
      <w:r>
        <w:rPr>
          <w:rFonts w:hint="eastAsia" w:ascii="宋体" w:hAnsi="宋体" w:cs="宋体"/>
          <w:szCs w:val="21"/>
        </w:rPr>
        <w:t>中标人建立、妥善保管和正确使用本项目相关的各类档案资料，及时根据采购人要求按时提供相关资料及数据，并配合采购人完成各类评审、检查工作。</w:t>
      </w:r>
    </w:p>
    <w:p w14:paraId="025D4E69">
      <w:pPr>
        <w:numPr>
          <w:ilvl w:val="0"/>
          <w:numId w:val="2"/>
        </w:numPr>
        <w:spacing w:line="360" w:lineRule="auto"/>
        <w:ind w:firstLine="422" w:firstLineChars="200"/>
        <w:rPr>
          <w:rFonts w:ascii="宋体" w:hAnsi="宋体" w:cs="宋体"/>
          <w:b/>
          <w:bCs/>
          <w:szCs w:val="21"/>
        </w:rPr>
      </w:pPr>
      <w:r>
        <w:rPr>
          <w:rFonts w:hint="eastAsia" w:ascii="宋体" w:hAnsi="宋体" w:cs="宋体"/>
          <w:b/>
          <w:bCs/>
          <w:szCs w:val="21"/>
        </w:rPr>
        <w:t>商务要求</w:t>
      </w:r>
    </w:p>
    <w:p w14:paraId="5095B19D">
      <w:pPr>
        <w:spacing w:line="360" w:lineRule="auto"/>
        <w:ind w:firstLine="422" w:firstLineChars="200"/>
        <w:jc w:val="left"/>
        <w:rPr>
          <w:rFonts w:ascii="宋体" w:hAnsi="宋体" w:cs="宋体"/>
          <w:b/>
          <w:szCs w:val="21"/>
        </w:rPr>
      </w:pPr>
      <w:r>
        <w:rPr>
          <w:rFonts w:hint="eastAsia" w:ascii="宋体" w:hAnsi="宋体" w:cs="宋体"/>
          <w:b/>
          <w:szCs w:val="21"/>
        </w:rPr>
        <w:t>说明：带“★”指标项为关键指标，如出现负偏离，将被视为未实质性满足招标文件要求作投标无效处理。</w:t>
      </w:r>
    </w:p>
    <w:p w14:paraId="19CBB8F8">
      <w:pPr>
        <w:numPr>
          <w:ilvl w:val="0"/>
          <w:numId w:val="10"/>
        </w:numPr>
        <w:spacing w:line="360" w:lineRule="auto"/>
        <w:rPr>
          <w:rFonts w:ascii="宋体" w:hAnsi="宋体" w:cs="宋体"/>
          <w:b/>
          <w:szCs w:val="21"/>
        </w:rPr>
      </w:pPr>
      <w:r>
        <w:rPr>
          <w:rFonts w:hint="eastAsia" w:ascii="宋体" w:hAnsi="宋体" w:cs="宋体"/>
          <w:szCs w:val="21"/>
        </w:rPr>
        <w:t xml:space="preserve">★ </w:t>
      </w:r>
      <w:r>
        <w:rPr>
          <w:rFonts w:hint="eastAsia" w:ascii="宋体" w:hAnsi="宋体" w:cs="宋体"/>
          <w:b/>
          <w:szCs w:val="21"/>
        </w:rPr>
        <w:t>服务期限：</w:t>
      </w:r>
      <w:r>
        <w:rPr>
          <w:rFonts w:hint="eastAsia" w:ascii="宋体" w:hAnsi="宋体" w:cs="宋体"/>
          <w:bCs/>
          <w:szCs w:val="21"/>
        </w:rPr>
        <w:t>1年（以合同约定日期为准）。</w:t>
      </w:r>
    </w:p>
    <w:p w14:paraId="3783BFE9">
      <w:pPr>
        <w:numPr>
          <w:ilvl w:val="255"/>
          <w:numId w:val="0"/>
        </w:numPr>
        <w:spacing w:line="360" w:lineRule="auto"/>
        <w:ind w:firstLine="420" w:firstLineChars="200"/>
        <w:rPr>
          <w:rFonts w:ascii="宋体" w:hAnsi="宋体" w:cs="宋体"/>
          <w:bCs/>
          <w:kern w:val="0"/>
          <w:szCs w:val="21"/>
          <w:lang w:bidi="ar"/>
        </w:rPr>
      </w:pPr>
      <w:r>
        <w:rPr>
          <w:rFonts w:hint="eastAsia" w:ascii="宋体" w:hAnsi="宋体" w:cs="宋体"/>
          <w:bCs/>
          <w:szCs w:val="21"/>
        </w:rPr>
        <w:t>该项目为长期服务项目；本合同期满后，采购人可根据项目需要、中标人合同履约情况及相关政策、法律规定决定合同期限是否延长。若需续签，双方可按相关规定办理合同续签手续，每次续签合同期限最长1年，总服务期最长不超过3年或36个月</w:t>
      </w:r>
      <w:r>
        <w:rPr>
          <w:rFonts w:hint="eastAsia" w:ascii="宋体" w:hAnsi="宋体" w:cs="宋体"/>
          <w:bCs/>
          <w:kern w:val="0"/>
          <w:szCs w:val="21"/>
          <w:lang w:bidi="ar"/>
        </w:rPr>
        <w:t>。</w:t>
      </w:r>
    </w:p>
    <w:p w14:paraId="546621DD">
      <w:pPr>
        <w:numPr>
          <w:ilvl w:val="0"/>
          <w:numId w:val="10"/>
        </w:numPr>
        <w:spacing w:line="360" w:lineRule="auto"/>
        <w:rPr>
          <w:rFonts w:ascii="宋体" w:hAnsi="宋体" w:cs="宋体"/>
          <w:b/>
          <w:szCs w:val="21"/>
        </w:rPr>
      </w:pPr>
      <w:r>
        <w:rPr>
          <w:rFonts w:hint="eastAsia" w:ascii="宋体" w:hAnsi="宋体" w:cs="宋体"/>
          <w:szCs w:val="21"/>
        </w:rPr>
        <w:t>★</w:t>
      </w:r>
      <w:r>
        <w:rPr>
          <w:rFonts w:hint="eastAsia" w:ascii="宋体" w:hAnsi="宋体" w:cs="宋体"/>
          <w:b/>
          <w:szCs w:val="21"/>
        </w:rPr>
        <w:t>报价要求：</w:t>
      </w:r>
    </w:p>
    <w:tbl>
      <w:tblPr>
        <w:tblStyle w:val="18"/>
        <w:tblW w:w="5538" w:type="pct"/>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59"/>
        <w:gridCol w:w="2157"/>
        <w:gridCol w:w="2159"/>
        <w:gridCol w:w="1491"/>
      </w:tblGrid>
      <w:tr w14:paraId="762D940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972" w:hRule="atLeast"/>
          <w:jc w:val="center"/>
        </w:trPr>
        <w:tc>
          <w:tcPr>
            <w:tcW w:w="1832" w:type="pct"/>
            <w:tcBorders>
              <w:top w:val="double" w:color="auto" w:sz="4" w:space="0"/>
              <w:bottom w:val="single" w:color="auto" w:sz="4" w:space="0"/>
            </w:tcBorders>
            <w:vAlign w:val="center"/>
          </w:tcPr>
          <w:p w14:paraId="6D2DFB6A">
            <w:pPr>
              <w:jc w:val="center"/>
              <w:rPr>
                <w:rFonts w:ascii="宋体" w:hAnsi="宋体" w:cs="宋体"/>
                <w:b/>
                <w:bCs/>
                <w:snapToGrid w:val="0"/>
                <w:kern w:val="0"/>
                <w:szCs w:val="21"/>
              </w:rPr>
            </w:pPr>
            <w:r>
              <w:rPr>
                <w:rFonts w:hint="eastAsia" w:ascii="宋体" w:hAnsi="宋体" w:cs="宋体"/>
                <w:b/>
                <w:bCs/>
                <w:snapToGrid w:val="0"/>
                <w:kern w:val="0"/>
                <w:szCs w:val="21"/>
              </w:rPr>
              <w:t>项目名称</w:t>
            </w:r>
          </w:p>
        </w:tc>
        <w:tc>
          <w:tcPr>
            <w:tcW w:w="1176" w:type="pct"/>
            <w:tcBorders>
              <w:top w:val="double" w:color="auto" w:sz="4" w:space="0"/>
              <w:bottom w:val="single" w:color="auto" w:sz="4" w:space="0"/>
            </w:tcBorders>
            <w:vAlign w:val="center"/>
          </w:tcPr>
          <w:p w14:paraId="18131370">
            <w:pPr>
              <w:jc w:val="center"/>
              <w:rPr>
                <w:rFonts w:ascii="宋体" w:hAnsi="宋体" w:cs="宋体"/>
                <w:b/>
                <w:bCs/>
                <w:snapToGrid w:val="0"/>
                <w:kern w:val="0"/>
                <w:szCs w:val="21"/>
              </w:rPr>
            </w:pPr>
            <w:r>
              <w:rPr>
                <w:rFonts w:hint="eastAsia" w:ascii="宋体" w:hAnsi="宋体" w:cs="宋体"/>
                <w:b/>
                <w:bCs/>
                <w:snapToGrid w:val="0"/>
                <w:kern w:val="0"/>
                <w:szCs w:val="21"/>
              </w:rPr>
              <w:t>最高限价</w:t>
            </w:r>
          </w:p>
          <w:p w14:paraId="2EDD61F7">
            <w:pPr>
              <w:jc w:val="center"/>
              <w:rPr>
                <w:rFonts w:ascii="宋体" w:hAnsi="宋体" w:cs="宋体"/>
                <w:b/>
                <w:bCs/>
                <w:snapToGrid w:val="0"/>
                <w:kern w:val="0"/>
                <w:szCs w:val="21"/>
              </w:rPr>
            </w:pPr>
            <w:r>
              <w:rPr>
                <w:rFonts w:hint="eastAsia" w:ascii="宋体" w:hAnsi="宋体" w:cs="宋体"/>
                <w:b/>
                <w:bCs/>
                <w:kern w:val="0"/>
                <w:szCs w:val="21"/>
              </w:rPr>
              <w:t>（元/年）</w:t>
            </w:r>
          </w:p>
        </w:tc>
        <w:tc>
          <w:tcPr>
            <w:tcW w:w="1177" w:type="pct"/>
            <w:tcBorders>
              <w:top w:val="double" w:color="auto" w:sz="4" w:space="0"/>
              <w:bottom w:val="single" w:color="auto" w:sz="4" w:space="0"/>
            </w:tcBorders>
            <w:vAlign w:val="center"/>
          </w:tcPr>
          <w:p w14:paraId="7E0415FF">
            <w:pPr>
              <w:jc w:val="center"/>
              <w:rPr>
                <w:rFonts w:ascii="宋体" w:hAnsi="宋体" w:cs="宋体"/>
                <w:b/>
                <w:bCs/>
                <w:snapToGrid w:val="0"/>
                <w:kern w:val="0"/>
                <w:szCs w:val="21"/>
              </w:rPr>
            </w:pPr>
            <w:r>
              <w:rPr>
                <w:rFonts w:hint="eastAsia" w:ascii="宋体" w:hAnsi="宋体" w:cs="宋体"/>
                <w:b/>
                <w:bCs/>
                <w:snapToGrid w:val="0"/>
                <w:kern w:val="0"/>
                <w:szCs w:val="21"/>
              </w:rPr>
              <w:t>投标总价</w:t>
            </w:r>
          </w:p>
          <w:p w14:paraId="7DCCCC99">
            <w:pPr>
              <w:jc w:val="center"/>
              <w:rPr>
                <w:rFonts w:ascii="宋体" w:hAnsi="宋体" w:cs="宋体"/>
                <w:b/>
                <w:bCs/>
                <w:snapToGrid w:val="0"/>
                <w:kern w:val="0"/>
                <w:szCs w:val="21"/>
              </w:rPr>
            </w:pPr>
            <w:r>
              <w:rPr>
                <w:rFonts w:hint="eastAsia" w:ascii="宋体" w:hAnsi="宋体" w:cs="宋体"/>
                <w:b/>
                <w:bCs/>
                <w:kern w:val="0"/>
                <w:szCs w:val="21"/>
              </w:rPr>
              <w:t>（元/年）</w:t>
            </w:r>
          </w:p>
        </w:tc>
        <w:tc>
          <w:tcPr>
            <w:tcW w:w="813" w:type="pct"/>
            <w:tcBorders>
              <w:top w:val="double" w:color="auto" w:sz="4" w:space="0"/>
              <w:bottom w:val="single" w:color="auto" w:sz="4" w:space="0"/>
            </w:tcBorders>
            <w:vAlign w:val="center"/>
          </w:tcPr>
          <w:p w14:paraId="34D1F841">
            <w:pPr>
              <w:jc w:val="center"/>
              <w:rPr>
                <w:rFonts w:ascii="宋体" w:hAnsi="宋体" w:cs="宋体"/>
                <w:b/>
                <w:bCs/>
                <w:snapToGrid w:val="0"/>
                <w:kern w:val="0"/>
                <w:szCs w:val="21"/>
              </w:rPr>
            </w:pPr>
            <w:r>
              <w:rPr>
                <w:rFonts w:hint="eastAsia" w:ascii="宋体" w:hAnsi="宋体" w:cs="宋体"/>
                <w:b/>
                <w:bCs/>
                <w:snapToGrid w:val="0"/>
                <w:kern w:val="0"/>
                <w:szCs w:val="21"/>
              </w:rPr>
              <w:t>备注</w:t>
            </w:r>
          </w:p>
        </w:tc>
      </w:tr>
      <w:tr w14:paraId="0524EBA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1252" w:hRule="atLeast"/>
          <w:jc w:val="center"/>
        </w:trPr>
        <w:tc>
          <w:tcPr>
            <w:tcW w:w="1832" w:type="pct"/>
            <w:tcBorders>
              <w:top w:val="single" w:color="auto" w:sz="4" w:space="0"/>
            </w:tcBorders>
            <w:vAlign w:val="center"/>
          </w:tcPr>
          <w:p w14:paraId="4D94B625">
            <w:pPr>
              <w:jc w:val="center"/>
              <w:rPr>
                <w:rFonts w:ascii="宋体" w:hAnsi="宋体" w:cs="宋体"/>
                <w:snapToGrid w:val="0"/>
                <w:kern w:val="0"/>
                <w:szCs w:val="21"/>
                <w:u w:val="single"/>
              </w:rPr>
            </w:pPr>
            <w:r>
              <w:rPr>
                <w:rFonts w:hint="eastAsia" w:ascii="宋体" w:hAnsi="宋体" w:cs="宋体"/>
                <w:snapToGrid w:val="0"/>
                <w:kern w:val="0"/>
                <w:szCs w:val="21"/>
                <w:u w:val="single"/>
              </w:rPr>
              <w:t>污水处理站运维服务项目</w:t>
            </w:r>
          </w:p>
        </w:tc>
        <w:tc>
          <w:tcPr>
            <w:tcW w:w="1176" w:type="pct"/>
            <w:tcBorders>
              <w:top w:val="single" w:color="auto" w:sz="4" w:space="0"/>
            </w:tcBorders>
            <w:vAlign w:val="center"/>
          </w:tcPr>
          <w:p w14:paraId="5D1C8EF8">
            <w:pPr>
              <w:jc w:val="center"/>
              <w:rPr>
                <w:rFonts w:ascii="宋体" w:hAnsi="宋体" w:cs="宋体"/>
                <w:snapToGrid w:val="0"/>
                <w:kern w:val="0"/>
                <w:szCs w:val="21"/>
              </w:rPr>
            </w:pPr>
            <w:r>
              <w:rPr>
                <w:rFonts w:hint="eastAsia" w:ascii="宋体" w:hAnsi="宋体" w:cs="宋体"/>
                <w:snapToGrid w:val="0"/>
                <w:kern w:val="0"/>
                <w:szCs w:val="21"/>
              </w:rPr>
              <w:t>200,000.00</w:t>
            </w:r>
          </w:p>
        </w:tc>
        <w:tc>
          <w:tcPr>
            <w:tcW w:w="1177" w:type="pct"/>
            <w:tcBorders>
              <w:top w:val="single" w:color="auto" w:sz="4" w:space="0"/>
            </w:tcBorders>
            <w:vAlign w:val="center"/>
          </w:tcPr>
          <w:p w14:paraId="2BA59EA8">
            <w:pPr>
              <w:rPr>
                <w:rFonts w:ascii="宋体" w:hAnsi="宋体" w:cs="宋体"/>
                <w:snapToGrid w:val="0"/>
                <w:kern w:val="0"/>
                <w:szCs w:val="21"/>
              </w:rPr>
            </w:pPr>
          </w:p>
        </w:tc>
        <w:tc>
          <w:tcPr>
            <w:tcW w:w="813" w:type="pct"/>
            <w:tcBorders>
              <w:top w:val="single" w:color="auto" w:sz="4" w:space="0"/>
            </w:tcBorders>
            <w:vAlign w:val="center"/>
          </w:tcPr>
          <w:p w14:paraId="0BC44F5A">
            <w:pPr>
              <w:jc w:val="center"/>
              <w:rPr>
                <w:rFonts w:ascii="宋体" w:hAnsi="宋体" w:cs="宋体"/>
                <w:snapToGrid w:val="0"/>
                <w:kern w:val="0"/>
                <w:szCs w:val="21"/>
              </w:rPr>
            </w:pPr>
          </w:p>
        </w:tc>
      </w:tr>
    </w:tbl>
    <w:p w14:paraId="7470B20A">
      <w:pPr>
        <w:spacing w:line="276" w:lineRule="auto"/>
        <w:rPr>
          <w:rFonts w:ascii="宋体" w:hAnsi="宋体" w:cs="宋体"/>
          <w:szCs w:val="21"/>
          <w:highlight w:val="yellow"/>
        </w:rPr>
      </w:pPr>
      <w:r>
        <w:rPr>
          <w:rFonts w:hint="eastAsia" w:ascii="宋体" w:hAnsi="宋体" w:cs="宋体"/>
          <w:szCs w:val="21"/>
        </w:rPr>
        <w:t>注：</w:t>
      </w:r>
    </w:p>
    <w:p w14:paraId="226B2411">
      <w:pPr>
        <w:spacing w:line="276" w:lineRule="auto"/>
        <w:ind w:firstLine="420" w:firstLineChars="200"/>
        <w:rPr>
          <w:rFonts w:ascii="宋体" w:hAnsi="宋体" w:cs="宋体"/>
          <w:szCs w:val="21"/>
        </w:rPr>
      </w:pPr>
      <w:r>
        <w:rPr>
          <w:rFonts w:hint="eastAsia" w:ascii="宋体" w:hAnsi="宋体" w:cs="宋体"/>
          <w:szCs w:val="21"/>
        </w:rPr>
        <w:t>1.所有价格应按“招标文件”中规定的货币单位填写；</w:t>
      </w:r>
    </w:p>
    <w:p w14:paraId="03537287">
      <w:pPr>
        <w:spacing w:line="276" w:lineRule="auto"/>
        <w:ind w:firstLine="420" w:firstLineChars="200"/>
        <w:rPr>
          <w:rFonts w:ascii="宋体" w:hAnsi="宋体" w:cs="宋体"/>
          <w:szCs w:val="21"/>
        </w:rPr>
      </w:pPr>
      <w:r>
        <w:rPr>
          <w:rFonts w:hint="eastAsia" w:ascii="宋体" w:hAnsi="宋体" w:cs="宋体"/>
          <w:szCs w:val="21"/>
        </w:rPr>
        <w:t>2.</w:t>
      </w:r>
      <w:r>
        <w:rPr>
          <w:rFonts w:hint="eastAsia" w:ascii="宋体" w:hAnsi="宋体" w:cs="宋体"/>
          <w:snapToGrid w:val="0"/>
          <w:kern w:val="0"/>
          <w:szCs w:val="21"/>
        </w:rPr>
        <w:t>投标人如果需要对报价或其他内容加以说明，可在备注栏填写</w:t>
      </w:r>
      <w:r>
        <w:rPr>
          <w:rFonts w:hint="eastAsia" w:ascii="宋体" w:hAnsi="宋体" w:cs="宋体"/>
          <w:szCs w:val="21"/>
        </w:rPr>
        <w:t>；</w:t>
      </w:r>
    </w:p>
    <w:p w14:paraId="335D4A0F">
      <w:pPr>
        <w:spacing w:line="276" w:lineRule="auto"/>
        <w:ind w:firstLine="422" w:firstLineChars="200"/>
        <w:rPr>
          <w:rFonts w:ascii="宋体" w:hAnsi="宋体" w:cs="宋体"/>
          <w:b/>
          <w:szCs w:val="21"/>
        </w:rPr>
      </w:pPr>
      <w:r>
        <w:rPr>
          <w:rFonts w:hint="eastAsia" w:ascii="宋体" w:hAnsi="宋体" w:cs="宋体"/>
          <w:b/>
          <w:szCs w:val="21"/>
        </w:rPr>
        <w:t>3.投标总价不得超过对应的财政预算限额，否则将导致投标无效。</w:t>
      </w:r>
    </w:p>
    <w:p w14:paraId="1CEEF0F4">
      <w:pPr>
        <w:spacing w:line="276" w:lineRule="auto"/>
        <w:ind w:firstLine="422" w:firstLineChars="200"/>
        <w:rPr>
          <w:rFonts w:ascii="宋体" w:hAnsi="宋体" w:cs="宋体"/>
          <w:b/>
          <w:szCs w:val="21"/>
        </w:rPr>
      </w:pPr>
      <w:r>
        <w:rPr>
          <w:rFonts w:hint="eastAsia" w:ascii="宋体" w:hAnsi="宋体" w:cs="宋体"/>
          <w:b/>
          <w:szCs w:val="21"/>
        </w:rPr>
        <w:t>4.《分项报价表》的投标总价应与开标一览表的投标报价一致。投标人根据项目需求对分项报价表的每月报价、年度报价进行填写。</w:t>
      </w:r>
    </w:p>
    <w:tbl>
      <w:tblPr>
        <w:tblStyle w:val="18"/>
        <w:tblW w:w="6213" w:type="pct"/>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34"/>
        <w:gridCol w:w="1691"/>
        <w:gridCol w:w="1728"/>
        <w:gridCol w:w="1728"/>
        <w:gridCol w:w="1742"/>
        <w:gridCol w:w="2061"/>
      </w:tblGrid>
      <w:tr w14:paraId="1ED228B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969" w:hRule="atLeast"/>
          <w:tblHeader/>
          <w:jc w:val="center"/>
        </w:trPr>
        <w:tc>
          <w:tcPr>
            <w:tcW w:w="649" w:type="pct"/>
            <w:tcBorders>
              <w:top w:val="double" w:color="auto" w:sz="4" w:space="0"/>
              <w:bottom w:val="single" w:color="auto" w:sz="4" w:space="0"/>
            </w:tcBorders>
            <w:vAlign w:val="center"/>
          </w:tcPr>
          <w:p w14:paraId="159E8068">
            <w:pPr>
              <w:jc w:val="center"/>
              <w:rPr>
                <w:rFonts w:ascii="宋体" w:hAnsi="宋体" w:cs="宋体"/>
                <w:b/>
                <w:bCs/>
                <w:snapToGrid w:val="0"/>
                <w:kern w:val="0"/>
                <w:szCs w:val="21"/>
              </w:rPr>
            </w:pPr>
            <w:r>
              <w:rPr>
                <w:rFonts w:hint="eastAsia" w:ascii="宋体" w:hAnsi="宋体" w:cs="宋体"/>
                <w:b/>
                <w:bCs/>
                <w:snapToGrid w:val="0"/>
                <w:kern w:val="0"/>
                <w:szCs w:val="21"/>
              </w:rPr>
              <w:t>序号</w:t>
            </w:r>
          </w:p>
        </w:tc>
        <w:tc>
          <w:tcPr>
            <w:tcW w:w="822" w:type="pct"/>
            <w:tcBorders>
              <w:top w:val="double" w:color="auto" w:sz="4" w:space="0"/>
              <w:bottom w:val="single" w:color="auto" w:sz="4" w:space="0"/>
            </w:tcBorders>
            <w:vAlign w:val="center"/>
          </w:tcPr>
          <w:p w14:paraId="7CB0DF5C">
            <w:pPr>
              <w:jc w:val="center"/>
              <w:rPr>
                <w:rFonts w:ascii="宋体" w:hAnsi="宋体" w:cs="宋体"/>
                <w:b/>
                <w:bCs/>
                <w:snapToGrid w:val="0"/>
                <w:kern w:val="0"/>
                <w:szCs w:val="21"/>
              </w:rPr>
            </w:pPr>
            <w:r>
              <w:rPr>
                <w:rFonts w:hint="eastAsia" w:ascii="宋体" w:hAnsi="宋体" w:cs="宋体"/>
                <w:b/>
                <w:bCs/>
                <w:snapToGrid w:val="0"/>
                <w:kern w:val="0"/>
                <w:szCs w:val="21"/>
              </w:rPr>
              <w:t>项目</w:t>
            </w:r>
          </w:p>
        </w:tc>
        <w:tc>
          <w:tcPr>
            <w:tcW w:w="840" w:type="pct"/>
            <w:tcBorders>
              <w:top w:val="double" w:color="auto" w:sz="4" w:space="0"/>
              <w:bottom w:val="single" w:color="auto" w:sz="4" w:space="0"/>
            </w:tcBorders>
            <w:vAlign w:val="center"/>
          </w:tcPr>
          <w:p w14:paraId="2875B480">
            <w:pPr>
              <w:jc w:val="center"/>
              <w:rPr>
                <w:rFonts w:ascii="宋体" w:hAnsi="宋体" w:cs="宋体"/>
                <w:b/>
                <w:bCs/>
                <w:snapToGrid w:val="0"/>
                <w:kern w:val="0"/>
                <w:szCs w:val="21"/>
              </w:rPr>
            </w:pPr>
            <w:r>
              <w:rPr>
                <w:rFonts w:hint="eastAsia" w:ascii="宋体" w:hAnsi="宋体" w:cs="宋体"/>
                <w:b/>
                <w:bCs/>
                <w:snapToGrid w:val="0"/>
                <w:kern w:val="0"/>
                <w:szCs w:val="21"/>
              </w:rPr>
              <w:t>频次（年）</w:t>
            </w:r>
          </w:p>
        </w:tc>
        <w:tc>
          <w:tcPr>
            <w:tcW w:w="840" w:type="pct"/>
            <w:tcBorders>
              <w:top w:val="double" w:color="auto" w:sz="4" w:space="0"/>
              <w:bottom w:val="single" w:color="auto" w:sz="4" w:space="0"/>
            </w:tcBorders>
            <w:vAlign w:val="center"/>
          </w:tcPr>
          <w:p w14:paraId="469A5184">
            <w:pPr>
              <w:jc w:val="center"/>
              <w:rPr>
                <w:rFonts w:ascii="宋体" w:hAnsi="宋体" w:cs="宋体"/>
                <w:b/>
                <w:bCs/>
                <w:snapToGrid w:val="0"/>
                <w:kern w:val="0"/>
                <w:szCs w:val="21"/>
              </w:rPr>
            </w:pPr>
            <w:r>
              <w:rPr>
                <w:rFonts w:hint="eastAsia" w:ascii="宋体" w:hAnsi="宋体" w:cs="宋体"/>
                <w:b/>
                <w:bCs/>
                <w:snapToGrid w:val="0"/>
                <w:kern w:val="0"/>
                <w:szCs w:val="21"/>
              </w:rPr>
              <w:t>每月报价（元）</w:t>
            </w:r>
          </w:p>
        </w:tc>
        <w:tc>
          <w:tcPr>
            <w:tcW w:w="847" w:type="pct"/>
            <w:tcBorders>
              <w:top w:val="double" w:color="auto" w:sz="4" w:space="0"/>
              <w:bottom w:val="single" w:color="auto" w:sz="4" w:space="0"/>
            </w:tcBorders>
            <w:vAlign w:val="center"/>
          </w:tcPr>
          <w:p w14:paraId="29360594">
            <w:pPr>
              <w:jc w:val="center"/>
              <w:rPr>
                <w:rFonts w:ascii="宋体" w:hAnsi="宋体" w:cs="宋体"/>
                <w:b/>
                <w:bCs/>
                <w:snapToGrid w:val="0"/>
                <w:kern w:val="0"/>
                <w:szCs w:val="21"/>
              </w:rPr>
            </w:pPr>
            <w:r>
              <w:rPr>
                <w:rFonts w:hint="eastAsia" w:ascii="宋体" w:hAnsi="宋体" w:cs="宋体"/>
                <w:b/>
                <w:bCs/>
                <w:snapToGrid w:val="0"/>
                <w:kern w:val="0"/>
                <w:szCs w:val="21"/>
              </w:rPr>
              <w:t>年度报价（元）</w:t>
            </w:r>
          </w:p>
        </w:tc>
        <w:tc>
          <w:tcPr>
            <w:tcW w:w="1002" w:type="pct"/>
            <w:tcBorders>
              <w:top w:val="double" w:color="auto" w:sz="4" w:space="0"/>
              <w:bottom w:val="single" w:color="auto" w:sz="4" w:space="0"/>
            </w:tcBorders>
            <w:vAlign w:val="center"/>
          </w:tcPr>
          <w:p w14:paraId="1880C354">
            <w:pPr>
              <w:jc w:val="center"/>
              <w:rPr>
                <w:rFonts w:ascii="宋体" w:hAnsi="宋体" w:cs="宋体"/>
                <w:b/>
                <w:bCs/>
                <w:snapToGrid w:val="0"/>
                <w:kern w:val="0"/>
                <w:szCs w:val="21"/>
              </w:rPr>
            </w:pPr>
            <w:r>
              <w:rPr>
                <w:rFonts w:hint="eastAsia" w:ascii="宋体" w:hAnsi="宋体" w:cs="宋体"/>
                <w:b/>
                <w:bCs/>
                <w:snapToGrid w:val="0"/>
                <w:kern w:val="0"/>
                <w:szCs w:val="21"/>
              </w:rPr>
              <w:t>备注</w:t>
            </w:r>
          </w:p>
        </w:tc>
      </w:tr>
      <w:tr w14:paraId="19ACB73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1252" w:hRule="atLeast"/>
          <w:jc w:val="center"/>
        </w:trPr>
        <w:tc>
          <w:tcPr>
            <w:tcW w:w="649" w:type="pct"/>
            <w:tcBorders>
              <w:top w:val="single" w:color="auto" w:sz="4" w:space="0"/>
              <w:bottom w:val="single" w:color="auto" w:sz="4" w:space="0"/>
            </w:tcBorders>
            <w:vAlign w:val="center"/>
          </w:tcPr>
          <w:p w14:paraId="7F70949F">
            <w:pPr>
              <w:jc w:val="center"/>
              <w:rPr>
                <w:rFonts w:ascii="宋体" w:hAnsi="宋体" w:cs="宋体"/>
                <w:snapToGrid w:val="0"/>
                <w:kern w:val="0"/>
                <w:szCs w:val="21"/>
              </w:rPr>
            </w:pPr>
            <w:r>
              <w:rPr>
                <w:rFonts w:hint="eastAsia" w:ascii="宋体" w:hAnsi="宋体" w:cs="宋体"/>
                <w:snapToGrid w:val="0"/>
                <w:kern w:val="0"/>
                <w:szCs w:val="21"/>
              </w:rPr>
              <w:t>1</w:t>
            </w:r>
          </w:p>
        </w:tc>
        <w:tc>
          <w:tcPr>
            <w:tcW w:w="822" w:type="pct"/>
            <w:tcBorders>
              <w:top w:val="single" w:color="auto" w:sz="4" w:space="0"/>
              <w:bottom w:val="single" w:color="auto" w:sz="4" w:space="0"/>
            </w:tcBorders>
            <w:vAlign w:val="center"/>
          </w:tcPr>
          <w:p w14:paraId="1D02950B">
            <w:pPr>
              <w:jc w:val="center"/>
              <w:rPr>
                <w:rFonts w:ascii="宋体" w:hAnsi="宋体" w:cs="宋体"/>
                <w:snapToGrid w:val="0"/>
                <w:kern w:val="0"/>
                <w:szCs w:val="21"/>
              </w:rPr>
            </w:pPr>
            <w:r>
              <w:rPr>
                <w:rFonts w:hint="eastAsia" w:ascii="宋体" w:hAnsi="宋体" w:cs="宋体"/>
                <w:snapToGrid w:val="0"/>
                <w:kern w:val="0"/>
                <w:szCs w:val="21"/>
              </w:rPr>
              <w:t>项目驻点人员配置（含人员劳保费用）</w:t>
            </w:r>
          </w:p>
        </w:tc>
        <w:tc>
          <w:tcPr>
            <w:tcW w:w="840" w:type="pct"/>
            <w:tcBorders>
              <w:top w:val="single" w:color="auto" w:sz="4" w:space="0"/>
              <w:bottom w:val="single" w:color="auto" w:sz="4" w:space="0"/>
            </w:tcBorders>
            <w:vAlign w:val="center"/>
          </w:tcPr>
          <w:p w14:paraId="071C9573">
            <w:pPr>
              <w:jc w:val="center"/>
              <w:rPr>
                <w:rFonts w:ascii="宋体" w:hAnsi="宋体" w:cs="宋体"/>
                <w:snapToGrid w:val="0"/>
                <w:kern w:val="0"/>
                <w:szCs w:val="21"/>
              </w:rPr>
            </w:pPr>
            <w:r>
              <w:rPr>
                <w:rFonts w:hint="eastAsia" w:ascii="宋体" w:hAnsi="宋体" w:cs="宋体"/>
                <w:snapToGrid w:val="0"/>
                <w:kern w:val="0"/>
                <w:szCs w:val="21"/>
              </w:rPr>
              <w:t>-</w:t>
            </w:r>
          </w:p>
        </w:tc>
        <w:tc>
          <w:tcPr>
            <w:tcW w:w="840" w:type="pct"/>
            <w:tcBorders>
              <w:top w:val="single" w:color="auto" w:sz="4" w:space="0"/>
              <w:bottom w:val="single" w:color="auto" w:sz="4" w:space="0"/>
            </w:tcBorders>
            <w:vAlign w:val="center"/>
          </w:tcPr>
          <w:p w14:paraId="6E9E1712">
            <w:pPr>
              <w:jc w:val="center"/>
              <w:rPr>
                <w:rFonts w:ascii="宋体" w:hAnsi="宋体" w:cs="宋体"/>
                <w:snapToGrid w:val="0"/>
                <w:kern w:val="0"/>
                <w:szCs w:val="21"/>
              </w:rPr>
            </w:pPr>
          </w:p>
        </w:tc>
        <w:tc>
          <w:tcPr>
            <w:tcW w:w="847" w:type="pct"/>
            <w:tcBorders>
              <w:top w:val="single" w:color="auto" w:sz="4" w:space="0"/>
              <w:bottom w:val="single" w:color="auto" w:sz="4" w:space="0"/>
            </w:tcBorders>
            <w:vAlign w:val="center"/>
          </w:tcPr>
          <w:p w14:paraId="41E7F384">
            <w:pPr>
              <w:jc w:val="center"/>
              <w:rPr>
                <w:rFonts w:ascii="宋体" w:hAnsi="宋体" w:cs="宋体"/>
                <w:snapToGrid w:val="0"/>
                <w:kern w:val="0"/>
                <w:szCs w:val="21"/>
              </w:rPr>
            </w:pPr>
          </w:p>
        </w:tc>
        <w:tc>
          <w:tcPr>
            <w:tcW w:w="1002" w:type="pct"/>
            <w:tcBorders>
              <w:top w:val="single" w:color="auto" w:sz="4" w:space="0"/>
              <w:bottom w:val="single" w:color="auto" w:sz="4" w:space="0"/>
            </w:tcBorders>
            <w:vAlign w:val="center"/>
          </w:tcPr>
          <w:p w14:paraId="7A75F108">
            <w:pPr>
              <w:rPr>
                <w:rFonts w:ascii="宋体" w:hAnsi="宋体" w:cs="宋体"/>
                <w:snapToGrid w:val="0"/>
                <w:kern w:val="0"/>
                <w:szCs w:val="21"/>
              </w:rPr>
            </w:pPr>
            <w:r>
              <w:rPr>
                <w:rFonts w:hint="eastAsia" w:ascii="宋体" w:hAnsi="宋体" w:cs="宋体"/>
                <w:snapToGrid w:val="0"/>
                <w:kern w:val="0"/>
                <w:szCs w:val="21"/>
              </w:rPr>
              <w:t>人员要求详见项目需求3.项目人员要求</w:t>
            </w:r>
          </w:p>
        </w:tc>
      </w:tr>
      <w:tr w14:paraId="6A1B31D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1252" w:hRule="atLeast"/>
          <w:jc w:val="center"/>
        </w:trPr>
        <w:tc>
          <w:tcPr>
            <w:tcW w:w="649" w:type="pct"/>
            <w:tcBorders>
              <w:top w:val="single" w:color="auto" w:sz="4" w:space="0"/>
              <w:bottom w:val="single" w:color="auto" w:sz="4" w:space="0"/>
            </w:tcBorders>
            <w:vAlign w:val="center"/>
          </w:tcPr>
          <w:p w14:paraId="11FCB33D">
            <w:pPr>
              <w:jc w:val="center"/>
              <w:rPr>
                <w:rFonts w:ascii="宋体" w:hAnsi="宋体" w:cs="宋体"/>
                <w:snapToGrid w:val="0"/>
                <w:kern w:val="0"/>
                <w:szCs w:val="21"/>
              </w:rPr>
            </w:pPr>
            <w:r>
              <w:rPr>
                <w:rFonts w:hint="eastAsia" w:ascii="宋体" w:hAnsi="宋体" w:cs="宋体"/>
                <w:snapToGrid w:val="0"/>
                <w:kern w:val="0"/>
                <w:szCs w:val="21"/>
              </w:rPr>
              <w:t>2</w:t>
            </w:r>
          </w:p>
        </w:tc>
        <w:tc>
          <w:tcPr>
            <w:tcW w:w="822" w:type="pct"/>
            <w:tcBorders>
              <w:top w:val="single" w:color="auto" w:sz="4" w:space="0"/>
              <w:bottom w:val="single" w:color="auto" w:sz="4" w:space="0"/>
            </w:tcBorders>
            <w:shd w:val="clear" w:color="auto" w:fill="auto"/>
            <w:vAlign w:val="center"/>
          </w:tcPr>
          <w:p w14:paraId="2674D5DF">
            <w:pPr>
              <w:pStyle w:val="16"/>
              <w:widowControl/>
              <w:rPr>
                <w:rFonts w:ascii="宋体" w:hAnsi="宋体" w:cs="宋体"/>
                <w:color w:val="000000"/>
                <w:sz w:val="21"/>
                <w:szCs w:val="21"/>
              </w:rPr>
            </w:pPr>
            <w:r>
              <w:rPr>
                <w:rFonts w:hint="eastAsia" w:ascii="宋体" w:hAnsi="宋体" w:cs="宋体"/>
                <w:color w:val="000000"/>
                <w:sz w:val="21"/>
                <w:szCs w:val="21"/>
              </w:rPr>
              <w:t>污水处理站日常运行维护费用</w:t>
            </w:r>
          </w:p>
        </w:tc>
        <w:tc>
          <w:tcPr>
            <w:tcW w:w="840" w:type="pct"/>
            <w:tcBorders>
              <w:top w:val="single" w:color="auto" w:sz="4" w:space="0"/>
              <w:bottom w:val="single" w:color="auto" w:sz="4" w:space="0"/>
            </w:tcBorders>
            <w:vAlign w:val="center"/>
          </w:tcPr>
          <w:p w14:paraId="6B3D9404">
            <w:pPr>
              <w:jc w:val="center"/>
              <w:rPr>
                <w:rFonts w:ascii="宋体" w:hAnsi="宋体" w:cs="宋体"/>
                <w:snapToGrid w:val="0"/>
                <w:kern w:val="0"/>
                <w:szCs w:val="21"/>
              </w:rPr>
            </w:pPr>
            <w:r>
              <w:rPr>
                <w:rFonts w:hint="eastAsia" w:ascii="宋体" w:hAnsi="宋体" w:cs="宋体"/>
                <w:snapToGrid w:val="0"/>
                <w:kern w:val="0"/>
                <w:szCs w:val="21"/>
              </w:rPr>
              <w:t>-</w:t>
            </w:r>
          </w:p>
        </w:tc>
        <w:tc>
          <w:tcPr>
            <w:tcW w:w="840" w:type="pct"/>
            <w:tcBorders>
              <w:top w:val="single" w:color="auto" w:sz="4" w:space="0"/>
              <w:bottom w:val="single" w:color="auto" w:sz="4" w:space="0"/>
            </w:tcBorders>
            <w:vAlign w:val="center"/>
          </w:tcPr>
          <w:p w14:paraId="34644CA6">
            <w:pPr>
              <w:jc w:val="center"/>
              <w:rPr>
                <w:rFonts w:ascii="宋体" w:hAnsi="宋体" w:cs="宋体"/>
                <w:snapToGrid w:val="0"/>
                <w:kern w:val="0"/>
                <w:szCs w:val="21"/>
              </w:rPr>
            </w:pPr>
          </w:p>
        </w:tc>
        <w:tc>
          <w:tcPr>
            <w:tcW w:w="847" w:type="pct"/>
            <w:tcBorders>
              <w:top w:val="single" w:color="auto" w:sz="4" w:space="0"/>
              <w:bottom w:val="single" w:color="auto" w:sz="4" w:space="0"/>
            </w:tcBorders>
            <w:vAlign w:val="center"/>
          </w:tcPr>
          <w:p w14:paraId="06DD4510">
            <w:pPr>
              <w:jc w:val="center"/>
              <w:rPr>
                <w:rFonts w:ascii="宋体" w:hAnsi="宋体" w:cs="宋体"/>
                <w:snapToGrid w:val="0"/>
                <w:kern w:val="0"/>
                <w:szCs w:val="21"/>
              </w:rPr>
            </w:pPr>
          </w:p>
        </w:tc>
        <w:tc>
          <w:tcPr>
            <w:tcW w:w="1002" w:type="pct"/>
            <w:tcBorders>
              <w:top w:val="single" w:color="auto" w:sz="4" w:space="0"/>
              <w:bottom w:val="single" w:color="auto" w:sz="4" w:space="0"/>
            </w:tcBorders>
            <w:vAlign w:val="center"/>
          </w:tcPr>
          <w:p w14:paraId="71AF3899">
            <w:pPr>
              <w:rPr>
                <w:rFonts w:ascii="宋体" w:hAnsi="宋体" w:cs="宋体"/>
                <w:snapToGrid w:val="0"/>
                <w:kern w:val="0"/>
                <w:szCs w:val="21"/>
              </w:rPr>
            </w:pPr>
            <w:r>
              <w:rPr>
                <w:rFonts w:hint="eastAsia" w:ascii="宋体" w:hAnsi="宋体" w:cs="宋体"/>
                <w:snapToGrid w:val="0"/>
                <w:kern w:val="0"/>
                <w:szCs w:val="21"/>
              </w:rPr>
              <w:t>包含设备维修、污水处理消毒试剂、药剂、耗材等相关费用</w:t>
            </w:r>
          </w:p>
        </w:tc>
      </w:tr>
      <w:tr w14:paraId="2011619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1252" w:hRule="atLeast"/>
          <w:jc w:val="center"/>
        </w:trPr>
        <w:tc>
          <w:tcPr>
            <w:tcW w:w="649" w:type="pct"/>
            <w:tcBorders>
              <w:top w:val="single" w:color="auto" w:sz="4" w:space="0"/>
              <w:bottom w:val="single" w:color="auto" w:sz="4" w:space="0"/>
            </w:tcBorders>
            <w:vAlign w:val="center"/>
          </w:tcPr>
          <w:p w14:paraId="5C0C0C8E">
            <w:pPr>
              <w:jc w:val="center"/>
              <w:rPr>
                <w:rFonts w:ascii="宋体" w:hAnsi="宋体" w:cs="宋体"/>
                <w:snapToGrid w:val="0"/>
                <w:kern w:val="0"/>
                <w:szCs w:val="21"/>
              </w:rPr>
            </w:pPr>
            <w:r>
              <w:rPr>
                <w:rFonts w:hint="eastAsia" w:ascii="宋体" w:hAnsi="宋体" w:cs="宋体"/>
                <w:snapToGrid w:val="0"/>
                <w:kern w:val="0"/>
                <w:szCs w:val="21"/>
              </w:rPr>
              <w:t>5</w:t>
            </w:r>
          </w:p>
        </w:tc>
        <w:tc>
          <w:tcPr>
            <w:tcW w:w="822" w:type="pct"/>
            <w:tcBorders>
              <w:top w:val="single" w:color="auto" w:sz="4" w:space="0"/>
              <w:bottom w:val="single" w:color="auto" w:sz="4" w:space="0"/>
            </w:tcBorders>
            <w:shd w:val="clear" w:color="auto" w:fill="auto"/>
            <w:vAlign w:val="center"/>
          </w:tcPr>
          <w:p w14:paraId="554A8418">
            <w:pPr>
              <w:pStyle w:val="16"/>
              <w:widowControl/>
              <w:rPr>
                <w:rFonts w:ascii="宋体" w:hAnsi="宋体" w:cs="宋体"/>
                <w:sz w:val="21"/>
                <w:szCs w:val="21"/>
              </w:rPr>
            </w:pPr>
            <w:r>
              <w:rPr>
                <w:rFonts w:hint="eastAsia" w:ascii="宋体" w:hAnsi="宋体" w:cs="宋体"/>
                <w:sz w:val="21"/>
                <w:szCs w:val="21"/>
                <w:highlight w:val="yellow"/>
              </w:rPr>
              <w:t>危险废弃物处置</w:t>
            </w:r>
          </w:p>
        </w:tc>
        <w:tc>
          <w:tcPr>
            <w:tcW w:w="840" w:type="pct"/>
            <w:tcBorders>
              <w:top w:val="single" w:color="auto" w:sz="4" w:space="0"/>
              <w:bottom w:val="single" w:color="auto" w:sz="4" w:space="0"/>
            </w:tcBorders>
            <w:vAlign w:val="center"/>
          </w:tcPr>
          <w:p w14:paraId="26BA64C3">
            <w:pPr>
              <w:jc w:val="center"/>
              <w:rPr>
                <w:rFonts w:ascii="宋体" w:hAnsi="宋体" w:cs="宋体"/>
                <w:snapToGrid w:val="0"/>
                <w:kern w:val="0"/>
                <w:szCs w:val="21"/>
              </w:rPr>
            </w:pPr>
            <w:r>
              <w:rPr>
                <w:rFonts w:hint="eastAsia" w:ascii="宋体" w:hAnsi="宋体" w:cs="宋体"/>
                <w:snapToGrid w:val="0"/>
                <w:kern w:val="0"/>
                <w:szCs w:val="21"/>
              </w:rPr>
              <w:t>-</w:t>
            </w:r>
          </w:p>
        </w:tc>
        <w:tc>
          <w:tcPr>
            <w:tcW w:w="840" w:type="pct"/>
            <w:tcBorders>
              <w:top w:val="single" w:color="auto" w:sz="4" w:space="0"/>
              <w:bottom w:val="single" w:color="auto" w:sz="4" w:space="0"/>
            </w:tcBorders>
            <w:vAlign w:val="center"/>
          </w:tcPr>
          <w:p w14:paraId="57B850B9">
            <w:pPr>
              <w:jc w:val="center"/>
              <w:rPr>
                <w:rFonts w:ascii="宋体" w:hAnsi="宋体" w:cs="宋体"/>
                <w:snapToGrid w:val="0"/>
                <w:kern w:val="0"/>
                <w:szCs w:val="21"/>
              </w:rPr>
            </w:pPr>
          </w:p>
        </w:tc>
        <w:tc>
          <w:tcPr>
            <w:tcW w:w="847" w:type="pct"/>
            <w:tcBorders>
              <w:top w:val="single" w:color="auto" w:sz="4" w:space="0"/>
              <w:bottom w:val="single" w:color="auto" w:sz="4" w:space="0"/>
            </w:tcBorders>
            <w:vAlign w:val="center"/>
          </w:tcPr>
          <w:p w14:paraId="54FDB8C6">
            <w:pPr>
              <w:jc w:val="center"/>
              <w:rPr>
                <w:rFonts w:ascii="宋体" w:hAnsi="宋体" w:cs="宋体"/>
                <w:snapToGrid w:val="0"/>
                <w:kern w:val="0"/>
                <w:szCs w:val="21"/>
              </w:rPr>
            </w:pPr>
          </w:p>
        </w:tc>
        <w:tc>
          <w:tcPr>
            <w:tcW w:w="1002" w:type="pct"/>
            <w:tcBorders>
              <w:top w:val="single" w:color="auto" w:sz="4" w:space="0"/>
              <w:bottom w:val="single" w:color="auto" w:sz="4" w:space="0"/>
            </w:tcBorders>
            <w:vAlign w:val="center"/>
          </w:tcPr>
          <w:p w14:paraId="24A66F87">
            <w:pPr>
              <w:jc w:val="center"/>
              <w:rPr>
                <w:rFonts w:ascii="宋体" w:hAnsi="宋体" w:cs="宋体"/>
                <w:snapToGrid w:val="0"/>
                <w:kern w:val="0"/>
                <w:szCs w:val="21"/>
              </w:rPr>
            </w:pPr>
            <w:r>
              <w:rPr>
                <w:rFonts w:hint="eastAsia" w:ascii="宋体" w:hAnsi="宋体" w:cs="宋体"/>
                <w:snapToGrid w:val="0"/>
                <w:kern w:val="0"/>
                <w:szCs w:val="21"/>
              </w:rPr>
              <w:t>每半年清运1次或废弃物产生量大时按需清理</w:t>
            </w:r>
          </w:p>
        </w:tc>
      </w:tr>
      <w:tr w14:paraId="4EEDF20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646" w:hRule="atLeast"/>
          <w:jc w:val="center"/>
        </w:trPr>
        <w:tc>
          <w:tcPr>
            <w:tcW w:w="649" w:type="pct"/>
            <w:vMerge w:val="restart"/>
          </w:tcPr>
          <w:p w14:paraId="1A632618">
            <w:pPr>
              <w:rPr>
                <w:rFonts w:ascii="宋体" w:hAnsi="宋体" w:cs="宋体"/>
                <w:b/>
                <w:bCs/>
                <w:snapToGrid w:val="0"/>
                <w:kern w:val="0"/>
                <w:szCs w:val="21"/>
              </w:rPr>
            </w:pPr>
            <w:r>
              <w:rPr>
                <w:rFonts w:hint="eastAsia" w:ascii="宋体" w:hAnsi="宋体" w:cs="宋体"/>
                <w:b/>
                <w:bCs/>
                <w:snapToGrid w:val="0"/>
                <w:kern w:val="0"/>
                <w:szCs w:val="21"/>
              </w:rPr>
              <w:t>投标人为完成本项目运维合同自认为需要增加的维保项目及单价</w:t>
            </w:r>
          </w:p>
        </w:tc>
        <w:tc>
          <w:tcPr>
            <w:tcW w:w="822" w:type="pct"/>
            <w:shd w:val="clear" w:color="auto" w:fill="auto"/>
            <w:vAlign w:val="center"/>
          </w:tcPr>
          <w:p w14:paraId="68B93804">
            <w:pPr>
              <w:pStyle w:val="16"/>
              <w:widowControl/>
              <w:rPr>
                <w:rFonts w:ascii="宋体" w:hAnsi="宋体" w:cs="宋体"/>
                <w:color w:val="000000"/>
                <w:sz w:val="21"/>
                <w:szCs w:val="21"/>
              </w:rPr>
            </w:pPr>
          </w:p>
        </w:tc>
        <w:tc>
          <w:tcPr>
            <w:tcW w:w="840" w:type="pct"/>
          </w:tcPr>
          <w:p w14:paraId="24A6CE5E">
            <w:pPr>
              <w:jc w:val="center"/>
              <w:rPr>
                <w:rFonts w:ascii="宋体" w:hAnsi="宋体" w:cs="宋体"/>
                <w:snapToGrid w:val="0"/>
                <w:kern w:val="0"/>
                <w:szCs w:val="21"/>
              </w:rPr>
            </w:pPr>
          </w:p>
        </w:tc>
        <w:tc>
          <w:tcPr>
            <w:tcW w:w="840" w:type="pct"/>
          </w:tcPr>
          <w:p w14:paraId="2E47A89E">
            <w:pPr>
              <w:jc w:val="center"/>
              <w:rPr>
                <w:rFonts w:ascii="宋体" w:hAnsi="宋体" w:cs="宋体"/>
                <w:snapToGrid w:val="0"/>
                <w:kern w:val="0"/>
                <w:szCs w:val="21"/>
              </w:rPr>
            </w:pPr>
          </w:p>
        </w:tc>
        <w:tc>
          <w:tcPr>
            <w:tcW w:w="847" w:type="pct"/>
          </w:tcPr>
          <w:p w14:paraId="0E1C7F48">
            <w:pPr>
              <w:jc w:val="center"/>
              <w:rPr>
                <w:rFonts w:ascii="宋体" w:hAnsi="宋体" w:cs="宋体"/>
                <w:snapToGrid w:val="0"/>
                <w:kern w:val="0"/>
                <w:szCs w:val="21"/>
              </w:rPr>
            </w:pPr>
          </w:p>
        </w:tc>
        <w:tc>
          <w:tcPr>
            <w:tcW w:w="1002" w:type="pct"/>
          </w:tcPr>
          <w:p w14:paraId="764BA460">
            <w:pPr>
              <w:jc w:val="center"/>
              <w:rPr>
                <w:rFonts w:ascii="宋体" w:hAnsi="宋体" w:cs="宋体"/>
                <w:snapToGrid w:val="0"/>
                <w:kern w:val="0"/>
                <w:szCs w:val="21"/>
              </w:rPr>
            </w:pPr>
          </w:p>
        </w:tc>
      </w:tr>
      <w:tr w14:paraId="5F0CD47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737" w:hRule="atLeast"/>
          <w:jc w:val="center"/>
        </w:trPr>
        <w:tc>
          <w:tcPr>
            <w:tcW w:w="649" w:type="pct"/>
            <w:vMerge w:val="continue"/>
          </w:tcPr>
          <w:p w14:paraId="196BF49B">
            <w:pPr>
              <w:jc w:val="center"/>
              <w:rPr>
                <w:rFonts w:ascii="宋体" w:hAnsi="宋体" w:cs="宋体"/>
                <w:b/>
                <w:bCs/>
                <w:snapToGrid w:val="0"/>
                <w:kern w:val="0"/>
                <w:szCs w:val="21"/>
              </w:rPr>
            </w:pPr>
          </w:p>
        </w:tc>
        <w:tc>
          <w:tcPr>
            <w:tcW w:w="822" w:type="pct"/>
            <w:shd w:val="clear" w:color="auto" w:fill="auto"/>
            <w:vAlign w:val="center"/>
          </w:tcPr>
          <w:p w14:paraId="5D9398E7">
            <w:pPr>
              <w:pStyle w:val="16"/>
              <w:widowControl/>
              <w:rPr>
                <w:rFonts w:ascii="宋体" w:hAnsi="宋体" w:cs="宋体"/>
                <w:color w:val="000000"/>
                <w:sz w:val="21"/>
                <w:szCs w:val="21"/>
              </w:rPr>
            </w:pPr>
          </w:p>
        </w:tc>
        <w:tc>
          <w:tcPr>
            <w:tcW w:w="840" w:type="pct"/>
          </w:tcPr>
          <w:p w14:paraId="025DB169">
            <w:pPr>
              <w:jc w:val="center"/>
              <w:rPr>
                <w:rFonts w:ascii="宋体" w:hAnsi="宋体" w:cs="宋体"/>
                <w:snapToGrid w:val="0"/>
                <w:kern w:val="0"/>
                <w:szCs w:val="21"/>
              </w:rPr>
            </w:pPr>
          </w:p>
        </w:tc>
        <w:tc>
          <w:tcPr>
            <w:tcW w:w="840" w:type="pct"/>
          </w:tcPr>
          <w:p w14:paraId="5F6BB44D">
            <w:pPr>
              <w:jc w:val="center"/>
              <w:rPr>
                <w:rFonts w:ascii="宋体" w:hAnsi="宋体" w:cs="宋体"/>
                <w:snapToGrid w:val="0"/>
                <w:kern w:val="0"/>
                <w:szCs w:val="21"/>
              </w:rPr>
            </w:pPr>
          </w:p>
        </w:tc>
        <w:tc>
          <w:tcPr>
            <w:tcW w:w="847" w:type="pct"/>
          </w:tcPr>
          <w:p w14:paraId="41F0DFCB">
            <w:pPr>
              <w:jc w:val="center"/>
              <w:rPr>
                <w:rFonts w:ascii="宋体" w:hAnsi="宋体" w:cs="宋体"/>
                <w:snapToGrid w:val="0"/>
                <w:kern w:val="0"/>
                <w:szCs w:val="21"/>
              </w:rPr>
            </w:pPr>
          </w:p>
        </w:tc>
        <w:tc>
          <w:tcPr>
            <w:tcW w:w="1002" w:type="pct"/>
          </w:tcPr>
          <w:p w14:paraId="50C635DA">
            <w:pPr>
              <w:jc w:val="center"/>
              <w:rPr>
                <w:rFonts w:ascii="宋体" w:hAnsi="宋体" w:cs="宋体"/>
                <w:snapToGrid w:val="0"/>
                <w:kern w:val="0"/>
                <w:szCs w:val="21"/>
              </w:rPr>
            </w:pPr>
          </w:p>
        </w:tc>
      </w:tr>
      <w:tr w14:paraId="26B6E18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226" w:hRule="atLeast"/>
          <w:jc w:val="center"/>
        </w:trPr>
        <w:tc>
          <w:tcPr>
            <w:tcW w:w="649" w:type="pct"/>
            <w:vMerge w:val="continue"/>
          </w:tcPr>
          <w:p w14:paraId="0A40DFFC">
            <w:pPr>
              <w:jc w:val="center"/>
              <w:rPr>
                <w:rFonts w:ascii="宋体" w:hAnsi="宋体" w:cs="宋体"/>
                <w:b/>
                <w:bCs/>
                <w:snapToGrid w:val="0"/>
                <w:kern w:val="0"/>
                <w:szCs w:val="21"/>
              </w:rPr>
            </w:pPr>
          </w:p>
        </w:tc>
        <w:tc>
          <w:tcPr>
            <w:tcW w:w="822" w:type="pct"/>
            <w:shd w:val="clear" w:color="auto" w:fill="auto"/>
            <w:vAlign w:val="center"/>
          </w:tcPr>
          <w:p w14:paraId="75DD83D6">
            <w:pPr>
              <w:pStyle w:val="16"/>
              <w:widowControl/>
              <w:rPr>
                <w:rFonts w:ascii="宋体" w:hAnsi="宋体" w:cs="宋体"/>
                <w:color w:val="000000"/>
                <w:sz w:val="21"/>
                <w:szCs w:val="21"/>
              </w:rPr>
            </w:pPr>
          </w:p>
        </w:tc>
        <w:tc>
          <w:tcPr>
            <w:tcW w:w="840" w:type="pct"/>
          </w:tcPr>
          <w:p w14:paraId="4E1798E9">
            <w:pPr>
              <w:jc w:val="center"/>
              <w:rPr>
                <w:rFonts w:ascii="宋体" w:hAnsi="宋体" w:cs="宋体"/>
                <w:snapToGrid w:val="0"/>
                <w:kern w:val="0"/>
                <w:szCs w:val="21"/>
              </w:rPr>
            </w:pPr>
          </w:p>
        </w:tc>
        <w:tc>
          <w:tcPr>
            <w:tcW w:w="840" w:type="pct"/>
          </w:tcPr>
          <w:p w14:paraId="7A51F955">
            <w:pPr>
              <w:jc w:val="center"/>
              <w:rPr>
                <w:rFonts w:ascii="宋体" w:hAnsi="宋体" w:cs="宋体"/>
                <w:snapToGrid w:val="0"/>
                <w:kern w:val="0"/>
                <w:szCs w:val="21"/>
              </w:rPr>
            </w:pPr>
          </w:p>
        </w:tc>
        <w:tc>
          <w:tcPr>
            <w:tcW w:w="847" w:type="pct"/>
          </w:tcPr>
          <w:p w14:paraId="35D73827">
            <w:pPr>
              <w:jc w:val="center"/>
              <w:rPr>
                <w:rFonts w:ascii="宋体" w:hAnsi="宋体" w:cs="宋体"/>
                <w:snapToGrid w:val="0"/>
                <w:kern w:val="0"/>
                <w:szCs w:val="21"/>
              </w:rPr>
            </w:pPr>
          </w:p>
        </w:tc>
        <w:tc>
          <w:tcPr>
            <w:tcW w:w="1002" w:type="pct"/>
          </w:tcPr>
          <w:p w14:paraId="1C91F6D4">
            <w:pPr>
              <w:jc w:val="center"/>
              <w:rPr>
                <w:rFonts w:ascii="宋体" w:hAnsi="宋体" w:cs="宋体"/>
                <w:snapToGrid w:val="0"/>
                <w:kern w:val="0"/>
                <w:szCs w:val="21"/>
              </w:rPr>
            </w:pPr>
          </w:p>
        </w:tc>
      </w:tr>
      <w:tr w14:paraId="7A23D34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699" w:hRule="atLeast"/>
          <w:jc w:val="center"/>
        </w:trPr>
        <w:tc>
          <w:tcPr>
            <w:tcW w:w="649" w:type="pct"/>
          </w:tcPr>
          <w:p w14:paraId="50F5FE6F">
            <w:pPr>
              <w:jc w:val="center"/>
              <w:rPr>
                <w:rFonts w:ascii="宋体" w:hAnsi="宋体" w:cs="宋体"/>
                <w:b/>
                <w:bCs/>
                <w:snapToGrid w:val="0"/>
                <w:kern w:val="0"/>
                <w:szCs w:val="21"/>
              </w:rPr>
            </w:pPr>
            <w:r>
              <w:rPr>
                <w:rFonts w:hint="eastAsia" w:ascii="宋体" w:hAnsi="宋体" w:cs="宋体"/>
                <w:b/>
                <w:bCs/>
                <w:snapToGrid w:val="0"/>
                <w:kern w:val="0"/>
                <w:szCs w:val="21"/>
              </w:rPr>
              <w:t>总价合计</w:t>
            </w:r>
          </w:p>
        </w:tc>
        <w:tc>
          <w:tcPr>
            <w:tcW w:w="822" w:type="pct"/>
            <w:shd w:val="clear" w:color="auto" w:fill="auto"/>
            <w:vAlign w:val="center"/>
          </w:tcPr>
          <w:p w14:paraId="082EC9BC">
            <w:pPr>
              <w:pStyle w:val="16"/>
              <w:widowControl/>
              <w:rPr>
                <w:rFonts w:ascii="宋体" w:hAnsi="宋体" w:cs="宋体"/>
                <w:color w:val="000000"/>
                <w:sz w:val="21"/>
                <w:szCs w:val="21"/>
              </w:rPr>
            </w:pPr>
          </w:p>
        </w:tc>
        <w:tc>
          <w:tcPr>
            <w:tcW w:w="840" w:type="pct"/>
          </w:tcPr>
          <w:p w14:paraId="05FDE9DF">
            <w:pPr>
              <w:jc w:val="center"/>
              <w:rPr>
                <w:rFonts w:ascii="宋体" w:hAnsi="宋体" w:cs="宋体"/>
                <w:snapToGrid w:val="0"/>
                <w:kern w:val="0"/>
                <w:szCs w:val="21"/>
              </w:rPr>
            </w:pPr>
          </w:p>
        </w:tc>
        <w:tc>
          <w:tcPr>
            <w:tcW w:w="840" w:type="pct"/>
          </w:tcPr>
          <w:p w14:paraId="7901C8CE">
            <w:pPr>
              <w:jc w:val="center"/>
              <w:rPr>
                <w:rFonts w:ascii="宋体" w:hAnsi="宋体" w:cs="宋体"/>
                <w:snapToGrid w:val="0"/>
                <w:kern w:val="0"/>
                <w:szCs w:val="21"/>
              </w:rPr>
            </w:pPr>
          </w:p>
        </w:tc>
        <w:tc>
          <w:tcPr>
            <w:tcW w:w="847" w:type="pct"/>
          </w:tcPr>
          <w:p w14:paraId="54817AE6">
            <w:pPr>
              <w:jc w:val="center"/>
              <w:rPr>
                <w:rFonts w:ascii="宋体" w:hAnsi="宋体" w:cs="宋体"/>
                <w:snapToGrid w:val="0"/>
                <w:kern w:val="0"/>
                <w:szCs w:val="21"/>
              </w:rPr>
            </w:pPr>
          </w:p>
        </w:tc>
        <w:tc>
          <w:tcPr>
            <w:tcW w:w="1002" w:type="pct"/>
          </w:tcPr>
          <w:p w14:paraId="0654B156">
            <w:pPr>
              <w:jc w:val="center"/>
              <w:rPr>
                <w:rFonts w:ascii="宋体" w:hAnsi="宋体" w:cs="宋体"/>
                <w:snapToGrid w:val="0"/>
                <w:kern w:val="0"/>
                <w:szCs w:val="21"/>
              </w:rPr>
            </w:pPr>
          </w:p>
        </w:tc>
      </w:tr>
    </w:tbl>
    <w:p w14:paraId="4B6E57D6">
      <w:pPr>
        <w:pStyle w:val="6"/>
        <w:rPr>
          <w:rFonts w:ascii="宋体" w:hAnsi="宋体" w:cs="宋体"/>
          <w:szCs w:val="21"/>
        </w:rPr>
      </w:pPr>
    </w:p>
    <w:p w14:paraId="632C9A5C">
      <w:pPr>
        <w:spacing w:line="276" w:lineRule="auto"/>
        <w:ind w:firstLine="422" w:firstLineChars="200"/>
        <w:rPr>
          <w:rFonts w:ascii="宋体" w:hAnsi="宋体" w:cs="宋体"/>
          <w:b/>
          <w:szCs w:val="21"/>
        </w:rPr>
      </w:pPr>
      <w:r>
        <w:rPr>
          <w:rFonts w:hint="eastAsia" w:ascii="宋体" w:hAnsi="宋体" w:cs="宋体"/>
          <w:b/>
          <w:szCs w:val="21"/>
        </w:rPr>
        <w:t>5.项目费用包含污水运维期间人员工资、保底污水处理量的药品、污水提升泵的维护、采购及应急事件处理、污水站设备维修材料费（单价1000元以下）等污水运维期间一切费用。</w:t>
      </w:r>
    </w:p>
    <w:p w14:paraId="412AB1A9">
      <w:pPr>
        <w:numPr>
          <w:ilvl w:val="0"/>
          <w:numId w:val="10"/>
        </w:numPr>
        <w:spacing w:line="360" w:lineRule="auto"/>
        <w:rPr>
          <w:rFonts w:ascii="宋体" w:hAnsi="宋体" w:cs="宋体"/>
          <w:b/>
          <w:szCs w:val="21"/>
        </w:rPr>
      </w:pPr>
      <w:r>
        <w:rPr>
          <w:rFonts w:hint="eastAsia" w:ascii="宋体" w:hAnsi="宋体" w:cs="宋体"/>
          <w:b/>
          <w:szCs w:val="21"/>
        </w:rPr>
        <w:t>★ 费用结算方式：</w:t>
      </w:r>
    </w:p>
    <w:p w14:paraId="1DEE6C00">
      <w:pPr>
        <w:widowControl/>
        <w:numPr>
          <w:ilvl w:val="0"/>
          <w:numId w:val="11"/>
        </w:numPr>
        <w:spacing w:line="360" w:lineRule="auto"/>
        <w:ind w:firstLine="480"/>
        <w:jc w:val="left"/>
        <w:rPr>
          <w:rFonts w:ascii="宋体" w:hAnsi="宋体" w:cs="宋体"/>
          <w:kern w:val="0"/>
          <w:szCs w:val="21"/>
          <w:lang w:bidi="ar"/>
        </w:rPr>
      </w:pPr>
      <w:r>
        <w:rPr>
          <w:rFonts w:hint="eastAsia" w:ascii="宋体" w:hAnsi="宋体" w:cs="宋体"/>
          <w:szCs w:val="21"/>
        </w:rPr>
        <w:t>采购人每3个月根据中标费用、服务质量考核结果据实结算。中标人每3个月提供污水处理站运维外包服务项目相关支付资料，提交采购人审核，遇节假日顺延；审核无误后，采购人在收到中标人正规发票10个工作日内支付。</w:t>
      </w:r>
    </w:p>
    <w:p w14:paraId="5EB1FA0A">
      <w:pPr>
        <w:widowControl/>
        <w:numPr>
          <w:ilvl w:val="0"/>
          <w:numId w:val="11"/>
        </w:numPr>
        <w:spacing w:line="360" w:lineRule="auto"/>
        <w:ind w:firstLine="480"/>
        <w:jc w:val="left"/>
        <w:rPr>
          <w:rFonts w:ascii="宋体" w:hAnsi="宋体" w:cs="宋体"/>
          <w:kern w:val="0"/>
          <w:szCs w:val="21"/>
          <w:lang w:bidi="ar"/>
        </w:rPr>
      </w:pPr>
      <w:r>
        <w:rPr>
          <w:rFonts w:hint="eastAsia" w:ascii="宋体" w:hAnsi="宋体" w:cs="宋体"/>
          <w:szCs w:val="21"/>
        </w:rPr>
        <w:t>招标文件明确规定由采购人承担的费用外，为履行合同义务支出的一切费用均由中标人承担，采购人不再给予中标人任何名目的费用或任何形式的补贴。</w:t>
      </w:r>
    </w:p>
    <w:p w14:paraId="6CD23AC1">
      <w:pPr>
        <w:numPr>
          <w:ilvl w:val="0"/>
          <w:numId w:val="10"/>
        </w:numPr>
        <w:spacing w:line="360" w:lineRule="auto"/>
        <w:rPr>
          <w:rFonts w:ascii="宋体" w:hAnsi="宋体" w:cs="宋体"/>
          <w:b/>
          <w:szCs w:val="21"/>
        </w:rPr>
      </w:pPr>
      <w:r>
        <w:rPr>
          <w:rFonts w:hint="eastAsia" w:ascii="宋体" w:hAnsi="宋体" w:cs="宋体"/>
          <w:b/>
          <w:szCs w:val="21"/>
        </w:rPr>
        <w:t>质量考核验收标准及违约金：</w:t>
      </w:r>
    </w:p>
    <w:p w14:paraId="5824F83F">
      <w:pPr>
        <w:widowControl/>
        <w:numPr>
          <w:ilvl w:val="0"/>
          <w:numId w:val="12"/>
        </w:numPr>
        <w:spacing w:line="360" w:lineRule="auto"/>
        <w:ind w:firstLine="480"/>
        <w:jc w:val="left"/>
        <w:rPr>
          <w:rFonts w:ascii="宋体" w:hAnsi="宋体" w:cs="宋体"/>
          <w:szCs w:val="21"/>
        </w:rPr>
      </w:pPr>
      <w:r>
        <w:rPr>
          <w:rFonts w:hint="eastAsia" w:ascii="宋体" w:hAnsi="宋体" w:cs="宋体"/>
          <w:szCs w:val="21"/>
        </w:rPr>
        <w:t>采购人定期或不定期对中标人的日常服务进行检查，对不符合管理要求的，责令中标人限期整改；对超过整改期限，无法有效落实整改的，采购人将按照考核标准进行扣分。</w:t>
      </w:r>
    </w:p>
    <w:p w14:paraId="1D5465BA">
      <w:pPr>
        <w:widowControl/>
        <w:numPr>
          <w:ilvl w:val="0"/>
          <w:numId w:val="12"/>
        </w:numPr>
        <w:spacing w:line="360" w:lineRule="auto"/>
        <w:ind w:firstLine="480"/>
        <w:jc w:val="left"/>
        <w:rPr>
          <w:rFonts w:ascii="宋体" w:hAnsi="宋体" w:cs="宋体"/>
          <w:szCs w:val="21"/>
        </w:rPr>
      </w:pPr>
      <w:r>
        <w:rPr>
          <w:rFonts w:hint="eastAsia" w:ascii="宋体" w:hAnsi="宋体" w:cs="宋体"/>
          <w:szCs w:val="21"/>
        </w:rPr>
        <w:t>采购人每3个月根据中标人的日常服务质量、检查情况等综合考核后填写《医院污水处理站运维服务考核评分》，如履约期间采购人对考核标准进行修订的，以最新修订的为准。</w:t>
      </w:r>
    </w:p>
    <w:p w14:paraId="2FBFEE8A">
      <w:pPr>
        <w:widowControl/>
        <w:numPr>
          <w:ilvl w:val="0"/>
          <w:numId w:val="12"/>
        </w:numPr>
        <w:spacing w:line="360" w:lineRule="auto"/>
        <w:ind w:firstLine="480"/>
        <w:jc w:val="left"/>
        <w:rPr>
          <w:rFonts w:ascii="宋体" w:hAnsi="宋体" w:cs="宋体"/>
          <w:szCs w:val="21"/>
        </w:rPr>
      </w:pPr>
      <w:r>
        <w:rPr>
          <w:rFonts w:hint="eastAsia" w:ascii="宋体" w:hAnsi="宋体" w:cs="宋体"/>
          <w:szCs w:val="21"/>
        </w:rPr>
        <w:t>每3个月污水处理站运维外包服务费用根据考核情况据实结算：考核总分数100分，考核分数达到90分或以上的，视为考核结果“合格”，100%支付当月服务费用；未达90分则为“不合格”，每低1分按1%的比例扣减当月的服务费用。如果一年之中累计三个月考核评分在90分以下，采购人有权终止项目服务合同，重新组织招标。终止合同后根据其每3个月考核的实际得分结清款项，其他与本项目有关的投入，采购人均不予补偿。出现其他违法违规情形的，将按规定上报相关主管部门处理。</w:t>
      </w:r>
    </w:p>
    <w:p w14:paraId="712F0157">
      <w:pPr>
        <w:numPr>
          <w:ilvl w:val="0"/>
          <w:numId w:val="10"/>
        </w:numPr>
        <w:spacing w:line="360" w:lineRule="auto"/>
        <w:rPr>
          <w:rFonts w:ascii="宋体" w:hAnsi="宋体" w:cs="宋体"/>
          <w:b/>
          <w:szCs w:val="21"/>
        </w:rPr>
      </w:pPr>
      <w:r>
        <w:rPr>
          <w:rFonts w:hint="eastAsia" w:ascii="宋体" w:hAnsi="宋体" w:cs="宋体"/>
          <w:b/>
          <w:szCs w:val="21"/>
        </w:rPr>
        <w:t>违约责任：</w:t>
      </w:r>
    </w:p>
    <w:p w14:paraId="3353654F">
      <w:pPr>
        <w:widowControl/>
        <w:numPr>
          <w:ilvl w:val="0"/>
          <w:numId w:val="13"/>
        </w:numPr>
        <w:spacing w:line="360" w:lineRule="auto"/>
        <w:ind w:firstLine="480"/>
        <w:jc w:val="left"/>
        <w:rPr>
          <w:rFonts w:ascii="宋体" w:hAnsi="宋体" w:cs="宋体"/>
          <w:szCs w:val="21"/>
        </w:rPr>
      </w:pPr>
      <w:r>
        <w:rPr>
          <w:rFonts w:hint="eastAsia" w:ascii="宋体" w:hAnsi="宋体" w:cs="宋体"/>
          <w:szCs w:val="21"/>
        </w:rPr>
        <w:t>中标人中标后以各种理由拒绝与采购人签订合同的，须向采购人偿付项目采购金额20%的违约金。</w:t>
      </w:r>
    </w:p>
    <w:p w14:paraId="21626789">
      <w:pPr>
        <w:widowControl/>
        <w:numPr>
          <w:ilvl w:val="0"/>
          <w:numId w:val="13"/>
        </w:numPr>
        <w:spacing w:line="360" w:lineRule="auto"/>
        <w:ind w:firstLine="480"/>
        <w:jc w:val="left"/>
        <w:rPr>
          <w:rFonts w:ascii="宋体" w:hAnsi="宋体" w:cs="宋体"/>
          <w:szCs w:val="21"/>
        </w:rPr>
      </w:pPr>
      <w:r>
        <w:rPr>
          <w:rFonts w:hint="eastAsia" w:ascii="宋体" w:hAnsi="宋体" w:cs="宋体"/>
          <w:szCs w:val="21"/>
        </w:rPr>
        <w:t>中标人根据有关法律法规、规章、政策和本项目规定在服务区域内开展污水处理站运维外包服务工作，不得损害国家、集体及第三人的合法权益，不得获取不当利益。由此所产生的一切法律责任由中标人承担，采购人对此不承担任何责任，不得向采购人要求补偿或者赔偿。导致采购人承担法律责任和经济责任的，采购人依法向中标人追偿。</w:t>
      </w:r>
    </w:p>
    <w:p w14:paraId="572AB275">
      <w:pPr>
        <w:widowControl/>
        <w:numPr>
          <w:ilvl w:val="0"/>
          <w:numId w:val="13"/>
        </w:numPr>
        <w:spacing w:line="360" w:lineRule="auto"/>
        <w:ind w:firstLine="480"/>
        <w:jc w:val="left"/>
        <w:rPr>
          <w:rFonts w:ascii="宋体" w:hAnsi="宋体" w:cs="宋体"/>
          <w:szCs w:val="21"/>
        </w:rPr>
      </w:pPr>
      <w:r>
        <w:rPr>
          <w:rFonts w:hint="eastAsia" w:ascii="宋体" w:hAnsi="宋体" w:cs="宋体"/>
          <w:szCs w:val="21"/>
        </w:rPr>
        <w:t>中标人在履行污水处理站运维外包服务时，应保证对采购人系统和设备运行、异常、故障情况等情况密切关注。如存在异常情况应及时告知采购人，并进行分析处理、采取行之有效的预警或补救措施。</w:t>
      </w:r>
    </w:p>
    <w:p w14:paraId="1C0D1B7B">
      <w:pPr>
        <w:widowControl/>
        <w:numPr>
          <w:ilvl w:val="0"/>
          <w:numId w:val="13"/>
        </w:numPr>
        <w:spacing w:line="360" w:lineRule="auto"/>
        <w:ind w:firstLine="480"/>
        <w:jc w:val="left"/>
        <w:rPr>
          <w:rFonts w:ascii="宋体" w:hAnsi="宋体" w:cs="宋体"/>
          <w:szCs w:val="21"/>
        </w:rPr>
      </w:pPr>
      <w:r>
        <w:rPr>
          <w:rFonts w:hint="eastAsia" w:ascii="宋体" w:hAnsi="宋体" w:cs="宋体"/>
          <w:szCs w:val="21"/>
        </w:rPr>
        <w:t>中标人在履行污水处理站运维外包服务时，若发现与污水处理站相关联的其他设备存在故障隐患或需部件维修/更换时，必须及时报告采购人，由其决定是否处置。如污水处理站相关系统和设备在运行中出现与其他设备的协同故障或冲突，中标人应主动配合对应供货商，积极协助解决问题。</w:t>
      </w:r>
    </w:p>
    <w:p w14:paraId="3DE40384">
      <w:pPr>
        <w:widowControl/>
        <w:numPr>
          <w:ilvl w:val="0"/>
          <w:numId w:val="13"/>
        </w:numPr>
        <w:spacing w:line="360" w:lineRule="auto"/>
        <w:ind w:firstLine="480"/>
        <w:jc w:val="left"/>
        <w:rPr>
          <w:rFonts w:ascii="宋体" w:hAnsi="宋体" w:cs="宋体"/>
          <w:szCs w:val="21"/>
        </w:rPr>
      </w:pPr>
      <w:r>
        <w:rPr>
          <w:rFonts w:hint="eastAsia" w:ascii="宋体" w:hAnsi="宋体" w:cs="宋体"/>
          <w:szCs w:val="21"/>
        </w:rPr>
        <w:t>如采购人就污水处理站相关系统和设备存在疑惑或认为有异常情况发生时，中标人须及时响应采购人的服务请求，并确保问题的有效解决。除不可抗力，中标人应于接到采购人通知（包括电话、微信、传真等方式）后1小时内响应，2小时内维修调试恢复使用。</w:t>
      </w:r>
    </w:p>
    <w:p w14:paraId="6F67C3E1">
      <w:pPr>
        <w:widowControl/>
        <w:numPr>
          <w:ilvl w:val="0"/>
          <w:numId w:val="13"/>
        </w:numPr>
        <w:spacing w:line="360" w:lineRule="auto"/>
        <w:ind w:firstLine="480"/>
        <w:jc w:val="left"/>
        <w:rPr>
          <w:rFonts w:ascii="宋体" w:hAnsi="宋体" w:cs="宋体"/>
          <w:szCs w:val="21"/>
        </w:rPr>
      </w:pPr>
      <w:r>
        <w:rPr>
          <w:rFonts w:hint="eastAsia" w:ascii="宋体" w:hAnsi="宋体" w:cs="宋体"/>
          <w:szCs w:val="21"/>
        </w:rPr>
        <w:t>中标人不得对采购人的系统和设备做出有损采购人利益的行为，包括但不限于未经授权获取、存储、传播采购人内部工作信息和未经授权修改、增加、删除数据操作等行为。</w:t>
      </w:r>
    </w:p>
    <w:p w14:paraId="7AD28246">
      <w:pPr>
        <w:widowControl/>
        <w:numPr>
          <w:ilvl w:val="0"/>
          <w:numId w:val="13"/>
        </w:numPr>
        <w:spacing w:line="360" w:lineRule="auto"/>
        <w:ind w:firstLine="480"/>
        <w:jc w:val="left"/>
        <w:rPr>
          <w:rFonts w:ascii="宋体" w:hAnsi="宋体" w:cs="宋体"/>
          <w:szCs w:val="21"/>
        </w:rPr>
      </w:pPr>
      <w:r>
        <w:rPr>
          <w:rFonts w:hint="eastAsia" w:ascii="宋体" w:hAnsi="宋体" w:cs="宋体"/>
          <w:szCs w:val="21"/>
        </w:rPr>
        <w:t>中标人负责对所有服务人员进行监督、指导、管理和培训。</w:t>
      </w:r>
    </w:p>
    <w:p w14:paraId="78DCBB3A">
      <w:pPr>
        <w:widowControl/>
        <w:numPr>
          <w:ilvl w:val="0"/>
          <w:numId w:val="13"/>
        </w:numPr>
        <w:spacing w:line="360" w:lineRule="auto"/>
        <w:ind w:firstLine="480"/>
        <w:jc w:val="left"/>
        <w:rPr>
          <w:rFonts w:ascii="宋体" w:hAnsi="宋体" w:cs="宋体"/>
          <w:szCs w:val="21"/>
        </w:rPr>
      </w:pPr>
      <w:r>
        <w:rPr>
          <w:rFonts w:hint="eastAsia" w:ascii="宋体" w:hAnsi="宋体" w:cs="宋体"/>
          <w:szCs w:val="21"/>
        </w:rPr>
        <w:t>采购人有权对中标人的日常服务工作实施监督与管理。若中标人维保人员未履行本项目约定服务内容或不服从采购人合理的工作安排与监管，采购人有权根据情节严重程度，直接要求中标人对其采取批评教育、处分或撤换等措施，中标人须予执行。若中标人服务人员出现工作失误或失职行为，经采购人要求更换后，两次更换仍无法满足要求的，采购人有权终止服务合同，由此产生的相关损失及责任均由中标人承担。</w:t>
      </w:r>
    </w:p>
    <w:p w14:paraId="47078D64">
      <w:pPr>
        <w:widowControl/>
        <w:numPr>
          <w:ilvl w:val="0"/>
          <w:numId w:val="13"/>
        </w:numPr>
        <w:spacing w:line="360" w:lineRule="auto"/>
        <w:ind w:firstLine="480"/>
        <w:jc w:val="left"/>
        <w:rPr>
          <w:rFonts w:ascii="宋体" w:hAnsi="宋体" w:cs="宋体"/>
          <w:szCs w:val="21"/>
        </w:rPr>
      </w:pPr>
      <w:r>
        <w:rPr>
          <w:rFonts w:hint="eastAsia" w:ascii="宋体" w:hAnsi="宋体" w:cs="宋体"/>
          <w:szCs w:val="21"/>
        </w:rPr>
        <w:t>中标人服务人员在工作过程中如出现安全事故或其他原因导致伤、残、亡等，由中标人承担责任。由于中标人服务人员的过错或过失造成医院人员伤害或财物损失，由中标人承担法律责任和经济责任。因发生不可抗力事件（如地震、战争、自然灾害等）给医院造成损失，中标人不承担赔偿责任。</w:t>
      </w:r>
    </w:p>
    <w:p w14:paraId="07C80FC5">
      <w:pPr>
        <w:widowControl/>
        <w:numPr>
          <w:ilvl w:val="0"/>
          <w:numId w:val="13"/>
        </w:numPr>
        <w:spacing w:line="360" w:lineRule="auto"/>
        <w:ind w:firstLine="480"/>
        <w:jc w:val="left"/>
        <w:rPr>
          <w:rFonts w:ascii="宋体" w:hAnsi="宋体" w:cs="宋体"/>
          <w:szCs w:val="21"/>
        </w:rPr>
      </w:pPr>
      <w:r>
        <w:rPr>
          <w:rFonts w:hint="eastAsia" w:ascii="宋体" w:hAnsi="宋体" w:cs="宋体"/>
          <w:szCs w:val="21"/>
        </w:rPr>
        <w:t>中标人服务人员在履行工作职责方面，如响应不及时、不作为，产生的法律责任由中标人全部承担。</w:t>
      </w:r>
    </w:p>
    <w:p w14:paraId="2111B543">
      <w:pPr>
        <w:widowControl/>
        <w:numPr>
          <w:ilvl w:val="0"/>
          <w:numId w:val="13"/>
        </w:numPr>
        <w:spacing w:line="360" w:lineRule="auto"/>
        <w:ind w:firstLine="480"/>
        <w:jc w:val="left"/>
        <w:rPr>
          <w:rFonts w:ascii="宋体" w:hAnsi="宋体" w:cs="宋体"/>
          <w:szCs w:val="21"/>
        </w:rPr>
      </w:pPr>
      <w:r>
        <w:rPr>
          <w:rFonts w:hint="eastAsia" w:ascii="宋体" w:hAnsi="宋体" w:cs="宋体"/>
          <w:szCs w:val="21"/>
        </w:rPr>
        <w:t>若中标人因未执行国家相关政策法规或因管理不善、服务不规范等原因导致事故、纠纷、损失、法律风险或受到政府部门的处罚，由中标人承担全部责任，包括但不限于赔偿、罚款、法律责任等。</w:t>
      </w:r>
    </w:p>
    <w:p w14:paraId="3F6383C3">
      <w:pPr>
        <w:widowControl/>
        <w:numPr>
          <w:ilvl w:val="0"/>
          <w:numId w:val="13"/>
        </w:numPr>
        <w:spacing w:line="360" w:lineRule="auto"/>
        <w:ind w:firstLine="480"/>
        <w:jc w:val="left"/>
        <w:rPr>
          <w:rFonts w:ascii="宋体" w:hAnsi="宋体" w:cs="宋体"/>
          <w:szCs w:val="21"/>
        </w:rPr>
      </w:pPr>
      <w:r>
        <w:rPr>
          <w:rFonts w:hint="eastAsia" w:ascii="宋体" w:hAnsi="宋体" w:cs="宋体"/>
          <w:szCs w:val="21"/>
        </w:rPr>
        <w:t>中标人不得转包或分包项目内容，中标人转包或分包项目内容的，采购人有权解除合同。</w:t>
      </w:r>
    </w:p>
    <w:p w14:paraId="67C2A10F">
      <w:pPr>
        <w:widowControl/>
        <w:numPr>
          <w:ilvl w:val="0"/>
          <w:numId w:val="13"/>
        </w:numPr>
        <w:spacing w:line="360" w:lineRule="auto"/>
        <w:ind w:firstLine="480"/>
        <w:jc w:val="left"/>
        <w:rPr>
          <w:rFonts w:ascii="宋体" w:hAnsi="宋体" w:cs="宋体"/>
          <w:szCs w:val="21"/>
        </w:rPr>
      </w:pPr>
      <w:r>
        <w:rPr>
          <w:rFonts w:hint="eastAsia" w:ascii="宋体" w:hAnsi="宋体" w:cs="宋体"/>
          <w:szCs w:val="21"/>
        </w:rPr>
        <w:t>服务期内，中标人若中途无故自行停止服务，造成采购人法律风险、经济损失的，由中标人予以赔偿并承担相关责任。导致严重后果的，采购人有权解除合同。</w:t>
      </w:r>
    </w:p>
    <w:p w14:paraId="30A9B8C2">
      <w:pPr>
        <w:widowControl/>
        <w:numPr>
          <w:ilvl w:val="0"/>
          <w:numId w:val="13"/>
        </w:numPr>
        <w:spacing w:line="360" w:lineRule="auto"/>
        <w:ind w:firstLine="480"/>
        <w:jc w:val="left"/>
        <w:rPr>
          <w:rFonts w:ascii="宋体" w:hAnsi="宋体" w:cs="宋体"/>
          <w:szCs w:val="21"/>
        </w:rPr>
      </w:pPr>
      <w:r>
        <w:rPr>
          <w:rFonts w:hint="eastAsia" w:ascii="宋体" w:hAnsi="宋体" w:cs="宋体"/>
          <w:szCs w:val="21"/>
        </w:rPr>
        <w:t>服务期内因服务方污水运维导致的一切监管部门罚款由中标人承担相应罚款、服务期内因服务方污水运维导致我院收到监管部门违规违法约谈通报等，视情节轻重每次给与2000-5000元罚款</w:t>
      </w:r>
    </w:p>
    <w:p w14:paraId="7A21AB10">
      <w:pPr>
        <w:widowControl/>
        <w:numPr>
          <w:ilvl w:val="0"/>
          <w:numId w:val="13"/>
        </w:numPr>
        <w:spacing w:line="360" w:lineRule="auto"/>
        <w:ind w:firstLine="480"/>
        <w:jc w:val="left"/>
        <w:rPr>
          <w:rFonts w:ascii="宋体" w:hAnsi="宋体" w:cs="宋体"/>
          <w:szCs w:val="21"/>
        </w:rPr>
      </w:pPr>
      <w:r>
        <w:rPr>
          <w:rFonts w:hint="eastAsia" w:ascii="宋体" w:hAnsi="宋体" w:cs="宋体"/>
          <w:szCs w:val="21"/>
        </w:rPr>
        <w:t>中标人未按相关规范要求完成服务的，采购人会以书面形式通知中标人整改，在发函2次后中标人的服务仍无法达到采购人要求时，采购人以书面形式通知中标人解除合同。</w:t>
      </w:r>
    </w:p>
    <w:p w14:paraId="78AC74AD">
      <w:pPr>
        <w:widowControl/>
        <w:numPr>
          <w:ilvl w:val="0"/>
          <w:numId w:val="13"/>
        </w:numPr>
        <w:spacing w:line="360" w:lineRule="auto"/>
        <w:ind w:firstLine="480"/>
        <w:jc w:val="left"/>
        <w:rPr>
          <w:rFonts w:ascii="宋体" w:hAnsi="宋体" w:cs="宋体"/>
          <w:szCs w:val="21"/>
        </w:rPr>
      </w:pPr>
      <w:r>
        <w:rPr>
          <w:rFonts w:hint="eastAsia" w:ascii="宋体" w:hAnsi="宋体" w:cs="宋体"/>
          <w:szCs w:val="21"/>
        </w:rPr>
        <w:t>本项目服务终止时，中标人必须向采购人移交全部档案资料及相关设备设施，确保移交的资料和设备设施完好无缺，因中标人原因，未按时完成移交，由此产生的一切后果由中标人承担。</w:t>
      </w:r>
    </w:p>
    <w:p w14:paraId="698B7E72">
      <w:pPr>
        <w:spacing w:line="360" w:lineRule="auto"/>
        <w:rPr>
          <w:rFonts w:ascii="宋体" w:hAnsi="宋体" w:cs="宋体"/>
          <w:b/>
          <w:szCs w:val="21"/>
          <w:shd w:val="clear" w:color="auto" w:fill="FFFFFF"/>
        </w:rPr>
      </w:pPr>
    </w:p>
    <w:sectPr>
      <w:pgSz w:w="11906" w:h="16838"/>
      <w:pgMar w:top="1134" w:right="1800" w:bottom="1134"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等线">
    <w:panose1 w:val="02010600030101010101"/>
    <w:charset w:val="86"/>
    <w:family w:val="auto"/>
    <w:pitch w:val="default"/>
    <w:sig w:usb0="A00002BF" w:usb1="38CF7CFA" w:usb2="00000016" w:usb3="00000000" w:csb0="0004000F" w:csb1="00000000"/>
  </w:font>
  <w:font w:name="H Yb 2gj">
    <w:altName w:val="黑体"/>
    <w:panose1 w:val="00000000000000000000"/>
    <w:charset w:val="86"/>
    <w:family w:val="auto"/>
    <w:pitch w:val="default"/>
    <w:sig w:usb0="00000000" w:usb1="00000000" w:usb2="00000010" w:usb3="00000000" w:csb0="00040000" w:csb1="00000000"/>
  </w:font>
  <w:font w:name="Segoe UI">
    <w:panose1 w:val="020B0502040204020203"/>
    <w:charset w:val="00"/>
    <w:family w:val="swiss"/>
    <w:pitch w:val="default"/>
    <w:sig w:usb0="E4002EFF" w:usb1="C000E47F"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731EE42"/>
    <w:multiLevelType w:val="singleLevel"/>
    <w:tmpl w:val="8731EE42"/>
    <w:lvl w:ilvl="0" w:tentative="0">
      <w:start w:val="1"/>
      <w:numFmt w:val="chineseCounting"/>
      <w:suff w:val="nothing"/>
      <w:lvlText w:val="%1、"/>
      <w:lvlJc w:val="left"/>
      <w:rPr>
        <w:rFonts w:hint="eastAsia"/>
      </w:rPr>
    </w:lvl>
  </w:abstractNum>
  <w:abstractNum w:abstractNumId="1">
    <w:nsid w:val="BE2C37C2"/>
    <w:multiLevelType w:val="singleLevel"/>
    <w:tmpl w:val="BE2C37C2"/>
    <w:lvl w:ilvl="0" w:tentative="0">
      <w:start w:val="1"/>
      <w:numFmt w:val="decimal"/>
      <w:suff w:val="nothing"/>
      <w:lvlText w:val="%1．"/>
      <w:lvlJc w:val="left"/>
      <w:pPr>
        <w:ind w:left="0" w:firstLine="400"/>
      </w:pPr>
      <w:rPr>
        <w:rFonts w:hint="default"/>
      </w:rPr>
    </w:lvl>
  </w:abstractNum>
  <w:abstractNum w:abstractNumId="2">
    <w:nsid w:val="C2C886EB"/>
    <w:multiLevelType w:val="singleLevel"/>
    <w:tmpl w:val="C2C886EB"/>
    <w:lvl w:ilvl="0" w:tentative="0">
      <w:start w:val="1"/>
      <w:numFmt w:val="chineseCounting"/>
      <w:suff w:val="nothing"/>
      <w:lvlText w:val="（%1）"/>
      <w:lvlJc w:val="left"/>
      <w:rPr>
        <w:rFonts w:hint="eastAsia"/>
      </w:rPr>
    </w:lvl>
  </w:abstractNum>
  <w:abstractNum w:abstractNumId="3">
    <w:nsid w:val="D7F2C10E"/>
    <w:multiLevelType w:val="singleLevel"/>
    <w:tmpl w:val="D7F2C10E"/>
    <w:lvl w:ilvl="0" w:tentative="0">
      <w:start w:val="1"/>
      <w:numFmt w:val="decimal"/>
      <w:suff w:val="nothing"/>
      <w:lvlText w:val="%1．"/>
      <w:lvlJc w:val="left"/>
      <w:pPr>
        <w:ind w:left="-258" w:firstLine="400"/>
      </w:pPr>
      <w:rPr>
        <w:rFonts w:hint="default"/>
      </w:rPr>
    </w:lvl>
  </w:abstractNum>
  <w:abstractNum w:abstractNumId="4">
    <w:nsid w:val="E5E200E0"/>
    <w:multiLevelType w:val="singleLevel"/>
    <w:tmpl w:val="E5E200E0"/>
    <w:lvl w:ilvl="0" w:tentative="0">
      <w:start w:val="1"/>
      <w:numFmt w:val="decimal"/>
      <w:suff w:val="nothing"/>
      <w:lvlText w:val="%1．"/>
      <w:lvlJc w:val="left"/>
      <w:pPr>
        <w:ind w:left="150" w:firstLine="400"/>
      </w:pPr>
      <w:rPr>
        <w:rFonts w:hint="default"/>
      </w:rPr>
    </w:lvl>
  </w:abstractNum>
  <w:abstractNum w:abstractNumId="5">
    <w:nsid w:val="0DBE458E"/>
    <w:multiLevelType w:val="singleLevel"/>
    <w:tmpl w:val="0DBE458E"/>
    <w:lvl w:ilvl="0" w:tentative="0">
      <w:start w:val="2"/>
      <w:numFmt w:val="chineseCounting"/>
      <w:suff w:val="nothing"/>
      <w:lvlText w:val="%1、"/>
      <w:lvlJc w:val="left"/>
      <w:rPr>
        <w:rFonts w:hint="eastAsia"/>
        <w:b/>
        <w:bCs/>
      </w:rPr>
    </w:lvl>
  </w:abstractNum>
  <w:abstractNum w:abstractNumId="6">
    <w:nsid w:val="23734EF1"/>
    <w:multiLevelType w:val="singleLevel"/>
    <w:tmpl w:val="23734EF1"/>
    <w:lvl w:ilvl="0" w:tentative="0">
      <w:start w:val="1"/>
      <w:numFmt w:val="chineseCounting"/>
      <w:suff w:val="nothing"/>
      <w:lvlText w:val="（%1）"/>
      <w:lvlJc w:val="left"/>
      <w:pPr>
        <w:ind w:left="0" w:firstLine="420"/>
      </w:pPr>
      <w:rPr>
        <w:rFonts w:hint="eastAsia"/>
      </w:rPr>
    </w:lvl>
  </w:abstractNum>
  <w:abstractNum w:abstractNumId="7">
    <w:nsid w:val="24714A5A"/>
    <w:multiLevelType w:val="multilevel"/>
    <w:tmpl w:val="24714A5A"/>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348DBC05"/>
    <w:multiLevelType w:val="singleLevel"/>
    <w:tmpl w:val="348DBC05"/>
    <w:lvl w:ilvl="0" w:tentative="0">
      <w:start w:val="1"/>
      <w:numFmt w:val="chineseCounting"/>
      <w:suff w:val="nothing"/>
      <w:lvlText w:val="（%1）"/>
      <w:lvlJc w:val="left"/>
      <w:pPr>
        <w:ind w:left="0" w:firstLine="420"/>
      </w:pPr>
      <w:rPr>
        <w:rFonts w:hint="eastAsia"/>
      </w:rPr>
    </w:lvl>
  </w:abstractNum>
  <w:abstractNum w:abstractNumId="9">
    <w:nsid w:val="3C61AA2F"/>
    <w:multiLevelType w:val="singleLevel"/>
    <w:tmpl w:val="3C61AA2F"/>
    <w:lvl w:ilvl="0" w:tentative="0">
      <w:start w:val="1"/>
      <w:numFmt w:val="chineseCounting"/>
      <w:suff w:val="nothing"/>
      <w:lvlText w:val="（%1）"/>
      <w:lvlJc w:val="left"/>
      <w:rPr>
        <w:rFonts w:hint="eastAsia"/>
      </w:rPr>
    </w:lvl>
  </w:abstractNum>
  <w:abstractNum w:abstractNumId="10">
    <w:nsid w:val="403EA28A"/>
    <w:multiLevelType w:val="singleLevel"/>
    <w:tmpl w:val="403EA28A"/>
    <w:lvl w:ilvl="0" w:tentative="0">
      <w:start w:val="1"/>
      <w:numFmt w:val="decimal"/>
      <w:suff w:val="nothing"/>
      <w:lvlText w:val="%1．"/>
      <w:lvlJc w:val="left"/>
      <w:pPr>
        <w:ind w:left="150" w:firstLine="400"/>
      </w:pPr>
      <w:rPr>
        <w:rFonts w:hint="default"/>
      </w:rPr>
    </w:lvl>
  </w:abstractNum>
  <w:abstractNum w:abstractNumId="11">
    <w:nsid w:val="6B920266"/>
    <w:multiLevelType w:val="singleLevel"/>
    <w:tmpl w:val="6B920266"/>
    <w:lvl w:ilvl="0" w:tentative="0">
      <w:start w:val="1"/>
      <w:numFmt w:val="decimal"/>
      <w:suff w:val="nothing"/>
      <w:lvlText w:val="%1．"/>
      <w:lvlJc w:val="left"/>
      <w:pPr>
        <w:ind w:left="150" w:firstLine="400"/>
      </w:pPr>
      <w:rPr>
        <w:rFonts w:hint="default"/>
      </w:rPr>
    </w:lvl>
  </w:abstractNum>
  <w:abstractNum w:abstractNumId="12">
    <w:nsid w:val="7C2D25F0"/>
    <w:multiLevelType w:val="multilevel"/>
    <w:tmpl w:val="7C2D25F0"/>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5"/>
  </w:num>
  <w:num w:numId="3">
    <w:abstractNumId w:val="2"/>
  </w:num>
  <w:num w:numId="4">
    <w:abstractNumId w:val="6"/>
  </w:num>
  <w:num w:numId="5">
    <w:abstractNumId w:val="12"/>
  </w:num>
  <w:num w:numId="6">
    <w:abstractNumId w:val="7"/>
  </w:num>
  <w:num w:numId="7">
    <w:abstractNumId w:val="9"/>
  </w:num>
  <w:num w:numId="8">
    <w:abstractNumId w:val="3"/>
  </w:num>
  <w:num w:numId="9">
    <w:abstractNumId w:val="1"/>
  </w:num>
  <w:num w:numId="10">
    <w:abstractNumId w:val="8"/>
  </w:num>
  <w:num w:numId="11">
    <w:abstractNumId w:val="10"/>
  </w:num>
  <w:num w:numId="12">
    <w:abstractNumId w:val="4"/>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revisionView w:markup="0"/>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GY1OWU3ZDMwYjJmOWFhMTZkNmQ0NjE3OTI4MDQ0MmYifQ=="/>
  </w:docVars>
  <w:rsids>
    <w:rsidRoot w:val="0029424B"/>
    <w:rsid w:val="000F0409"/>
    <w:rsid w:val="00233E0B"/>
    <w:rsid w:val="00250E1F"/>
    <w:rsid w:val="0029424B"/>
    <w:rsid w:val="0038337B"/>
    <w:rsid w:val="003D3D34"/>
    <w:rsid w:val="00410A5A"/>
    <w:rsid w:val="00445F88"/>
    <w:rsid w:val="004C7D9C"/>
    <w:rsid w:val="005C7E53"/>
    <w:rsid w:val="005E07BC"/>
    <w:rsid w:val="0064006D"/>
    <w:rsid w:val="00747830"/>
    <w:rsid w:val="007507B3"/>
    <w:rsid w:val="007A3073"/>
    <w:rsid w:val="00823048"/>
    <w:rsid w:val="009D5570"/>
    <w:rsid w:val="00AB6EAA"/>
    <w:rsid w:val="00AF718D"/>
    <w:rsid w:val="00BF3718"/>
    <w:rsid w:val="00C24F23"/>
    <w:rsid w:val="00D27E7B"/>
    <w:rsid w:val="00D475F4"/>
    <w:rsid w:val="00E10D8B"/>
    <w:rsid w:val="00EC2788"/>
    <w:rsid w:val="00F65E29"/>
    <w:rsid w:val="00FC7D76"/>
    <w:rsid w:val="01655336"/>
    <w:rsid w:val="0241156E"/>
    <w:rsid w:val="025644D6"/>
    <w:rsid w:val="027F6AB2"/>
    <w:rsid w:val="03274BAA"/>
    <w:rsid w:val="039E740C"/>
    <w:rsid w:val="03A762C0"/>
    <w:rsid w:val="03FD05D6"/>
    <w:rsid w:val="0422289E"/>
    <w:rsid w:val="0438561C"/>
    <w:rsid w:val="043F299D"/>
    <w:rsid w:val="04F512AE"/>
    <w:rsid w:val="068635AE"/>
    <w:rsid w:val="06870CA3"/>
    <w:rsid w:val="07986C5F"/>
    <w:rsid w:val="080E5F89"/>
    <w:rsid w:val="086D1C47"/>
    <w:rsid w:val="08843C56"/>
    <w:rsid w:val="09BC47FC"/>
    <w:rsid w:val="0A1B6C85"/>
    <w:rsid w:val="0A4E0248"/>
    <w:rsid w:val="0A6A1599"/>
    <w:rsid w:val="0A724E01"/>
    <w:rsid w:val="0AF62C86"/>
    <w:rsid w:val="0B0A3315"/>
    <w:rsid w:val="0B57681E"/>
    <w:rsid w:val="0B5D7BAD"/>
    <w:rsid w:val="0BBC0D77"/>
    <w:rsid w:val="0BD240F7"/>
    <w:rsid w:val="0C05627A"/>
    <w:rsid w:val="0CAB548B"/>
    <w:rsid w:val="0CFD51A3"/>
    <w:rsid w:val="0D3037CB"/>
    <w:rsid w:val="0DB253C7"/>
    <w:rsid w:val="0E263093"/>
    <w:rsid w:val="0E5847FF"/>
    <w:rsid w:val="0EB41FC4"/>
    <w:rsid w:val="0EBF2140"/>
    <w:rsid w:val="0F3F0722"/>
    <w:rsid w:val="0F9528C9"/>
    <w:rsid w:val="104A13EA"/>
    <w:rsid w:val="10513C38"/>
    <w:rsid w:val="10A371DF"/>
    <w:rsid w:val="10DB57FB"/>
    <w:rsid w:val="10DF7BD3"/>
    <w:rsid w:val="10E36DA6"/>
    <w:rsid w:val="11495EE1"/>
    <w:rsid w:val="11902805"/>
    <w:rsid w:val="119360D6"/>
    <w:rsid w:val="11C269BB"/>
    <w:rsid w:val="13AE5449"/>
    <w:rsid w:val="15AE5F8A"/>
    <w:rsid w:val="15B900D5"/>
    <w:rsid w:val="161F6191"/>
    <w:rsid w:val="172577D0"/>
    <w:rsid w:val="181A2C52"/>
    <w:rsid w:val="18445E9B"/>
    <w:rsid w:val="190C007B"/>
    <w:rsid w:val="19962C07"/>
    <w:rsid w:val="19FC2C8F"/>
    <w:rsid w:val="1A1001F7"/>
    <w:rsid w:val="1AA94BBC"/>
    <w:rsid w:val="1AB64342"/>
    <w:rsid w:val="1B6F1962"/>
    <w:rsid w:val="1C7918AF"/>
    <w:rsid w:val="1E4F5A7B"/>
    <w:rsid w:val="1E520B11"/>
    <w:rsid w:val="1E87477D"/>
    <w:rsid w:val="1F072A6C"/>
    <w:rsid w:val="1F666BD8"/>
    <w:rsid w:val="1F8654CC"/>
    <w:rsid w:val="20577E1E"/>
    <w:rsid w:val="20600C0C"/>
    <w:rsid w:val="206D21E8"/>
    <w:rsid w:val="209E758F"/>
    <w:rsid w:val="20E213EE"/>
    <w:rsid w:val="20F74837"/>
    <w:rsid w:val="21611D4D"/>
    <w:rsid w:val="22166833"/>
    <w:rsid w:val="22AD091E"/>
    <w:rsid w:val="22FB1D2D"/>
    <w:rsid w:val="231A78E6"/>
    <w:rsid w:val="232A71E2"/>
    <w:rsid w:val="23BE122F"/>
    <w:rsid w:val="23DD1433"/>
    <w:rsid w:val="24C41A62"/>
    <w:rsid w:val="24D10F97"/>
    <w:rsid w:val="24EA6147"/>
    <w:rsid w:val="25502CBE"/>
    <w:rsid w:val="25657932"/>
    <w:rsid w:val="265E2CFF"/>
    <w:rsid w:val="269637EB"/>
    <w:rsid w:val="27307C04"/>
    <w:rsid w:val="2740697A"/>
    <w:rsid w:val="27822A1D"/>
    <w:rsid w:val="27A91056"/>
    <w:rsid w:val="27AE2962"/>
    <w:rsid w:val="281F64BE"/>
    <w:rsid w:val="28340649"/>
    <w:rsid w:val="28FC776C"/>
    <w:rsid w:val="2A0E6DD8"/>
    <w:rsid w:val="2B032D0F"/>
    <w:rsid w:val="2B404781"/>
    <w:rsid w:val="2B5F021C"/>
    <w:rsid w:val="2BFA0DD4"/>
    <w:rsid w:val="2D2A3A58"/>
    <w:rsid w:val="2E4E3E3D"/>
    <w:rsid w:val="2E9D52D2"/>
    <w:rsid w:val="2F875074"/>
    <w:rsid w:val="2F963509"/>
    <w:rsid w:val="2F974B8C"/>
    <w:rsid w:val="2FE30702"/>
    <w:rsid w:val="3011563E"/>
    <w:rsid w:val="30896CE3"/>
    <w:rsid w:val="30A05CC2"/>
    <w:rsid w:val="31672554"/>
    <w:rsid w:val="317611DD"/>
    <w:rsid w:val="32590B6E"/>
    <w:rsid w:val="32BF5542"/>
    <w:rsid w:val="3337507F"/>
    <w:rsid w:val="334E5EA9"/>
    <w:rsid w:val="34513EB0"/>
    <w:rsid w:val="34727975"/>
    <w:rsid w:val="354237EC"/>
    <w:rsid w:val="359D0A22"/>
    <w:rsid w:val="36256637"/>
    <w:rsid w:val="3630171E"/>
    <w:rsid w:val="36435A6D"/>
    <w:rsid w:val="38282AF3"/>
    <w:rsid w:val="39423DBA"/>
    <w:rsid w:val="39657AA9"/>
    <w:rsid w:val="39CE6DBF"/>
    <w:rsid w:val="3AC76C6D"/>
    <w:rsid w:val="3AF00609"/>
    <w:rsid w:val="3B162801"/>
    <w:rsid w:val="3B3F4A55"/>
    <w:rsid w:val="3B65476E"/>
    <w:rsid w:val="3C2D0D52"/>
    <w:rsid w:val="3C900C4F"/>
    <w:rsid w:val="3CAF1767"/>
    <w:rsid w:val="3CF2585C"/>
    <w:rsid w:val="3CFB0E50"/>
    <w:rsid w:val="3E391C30"/>
    <w:rsid w:val="3E6D3368"/>
    <w:rsid w:val="3ED237CC"/>
    <w:rsid w:val="3F874C1D"/>
    <w:rsid w:val="40526FD9"/>
    <w:rsid w:val="40647818"/>
    <w:rsid w:val="419A34D7"/>
    <w:rsid w:val="41C95079"/>
    <w:rsid w:val="420C0EB6"/>
    <w:rsid w:val="4257047B"/>
    <w:rsid w:val="42992E00"/>
    <w:rsid w:val="43252782"/>
    <w:rsid w:val="43572B58"/>
    <w:rsid w:val="44242AB4"/>
    <w:rsid w:val="449000D0"/>
    <w:rsid w:val="44E421C9"/>
    <w:rsid w:val="46C75EE7"/>
    <w:rsid w:val="477046C8"/>
    <w:rsid w:val="479963CD"/>
    <w:rsid w:val="49421058"/>
    <w:rsid w:val="49440689"/>
    <w:rsid w:val="4A1943C9"/>
    <w:rsid w:val="4A2542EB"/>
    <w:rsid w:val="4A7F4E6E"/>
    <w:rsid w:val="4A9D70A2"/>
    <w:rsid w:val="4AB4072A"/>
    <w:rsid w:val="4B38501D"/>
    <w:rsid w:val="4B3B68BB"/>
    <w:rsid w:val="4B447E66"/>
    <w:rsid w:val="4B48061A"/>
    <w:rsid w:val="4BDD1CE0"/>
    <w:rsid w:val="4C08552D"/>
    <w:rsid w:val="4D297313"/>
    <w:rsid w:val="4D783DF7"/>
    <w:rsid w:val="4DAD19F9"/>
    <w:rsid w:val="4EF31987"/>
    <w:rsid w:val="4F5A60CF"/>
    <w:rsid w:val="4F947F26"/>
    <w:rsid w:val="4FD44442"/>
    <w:rsid w:val="4FD57BA6"/>
    <w:rsid w:val="50432D88"/>
    <w:rsid w:val="510A120A"/>
    <w:rsid w:val="51C22343"/>
    <w:rsid w:val="51FF1439"/>
    <w:rsid w:val="520E5D83"/>
    <w:rsid w:val="52D23FA9"/>
    <w:rsid w:val="533662E6"/>
    <w:rsid w:val="5448322E"/>
    <w:rsid w:val="54717FE2"/>
    <w:rsid w:val="55FB48A6"/>
    <w:rsid w:val="55FB55C5"/>
    <w:rsid w:val="57272B15"/>
    <w:rsid w:val="57454D4A"/>
    <w:rsid w:val="58870898"/>
    <w:rsid w:val="58F636BF"/>
    <w:rsid w:val="5A0F5517"/>
    <w:rsid w:val="5A366BCB"/>
    <w:rsid w:val="5A8B3CBA"/>
    <w:rsid w:val="5CB564CD"/>
    <w:rsid w:val="5CDB44D5"/>
    <w:rsid w:val="5D4D2BAA"/>
    <w:rsid w:val="5DCD3EA9"/>
    <w:rsid w:val="5E58643D"/>
    <w:rsid w:val="5E7F3237"/>
    <w:rsid w:val="5E805DCB"/>
    <w:rsid w:val="5FCE1BEA"/>
    <w:rsid w:val="5FFA2BA8"/>
    <w:rsid w:val="602776E2"/>
    <w:rsid w:val="6029789A"/>
    <w:rsid w:val="602F3D36"/>
    <w:rsid w:val="613876CD"/>
    <w:rsid w:val="61A66272"/>
    <w:rsid w:val="62937159"/>
    <w:rsid w:val="62C0797A"/>
    <w:rsid w:val="62CF5E0F"/>
    <w:rsid w:val="63163A3E"/>
    <w:rsid w:val="63C416EC"/>
    <w:rsid w:val="650B5ACF"/>
    <w:rsid w:val="65EB2F60"/>
    <w:rsid w:val="66A743CB"/>
    <w:rsid w:val="66E520A5"/>
    <w:rsid w:val="674A015A"/>
    <w:rsid w:val="67DF4D46"/>
    <w:rsid w:val="67FF7197"/>
    <w:rsid w:val="691D05F2"/>
    <w:rsid w:val="6A3C0286"/>
    <w:rsid w:val="6A6B28C1"/>
    <w:rsid w:val="6B855C05"/>
    <w:rsid w:val="6BCF7CBC"/>
    <w:rsid w:val="6C7C7FB8"/>
    <w:rsid w:val="6CED0B09"/>
    <w:rsid w:val="6DF90DFC"/>
    <w:rsid w:val="6E192634"/>
    <w:rsid w:val="6F347726"/>
    <w:rsid w:val="6FA23289"/>
    <w:rsid w:val="703772EB"/>
    <w:rsid w:val="704240C4"/>
    <w:rsid w:val="71396D69"/>
    <w:rsid w:val="716360A0"/>
    <w:rsid w:val="71BC4830"/>
    <w:rsid w:val="71C51A39"/>
    <w:rsid w:val="72587BCF"/>
    <w:rsid w:val="72A5093A"/>
    <w:rsid w:val="7311214C"/>
    <w:rsid w:val="73922C6D"/>
    <w:rsid w:val="7393204C"/>
    <w:rsid w:val="73BB4047"/>
    <w:rsid w:val="73BE3A62"/>
    <w:rsid w:val="74485289"/>
    <w:rsid w:val="744F7082"/>
    <w:rsid w:val="746C7962"/>
    <w:rsid w:val="74FA31C0"/>
    <w:rsid w:val="750E6B1C"/>
    <w:rsid w:val="752E10BB"/>
    <w:rsid w:val="753C5EB1"/>
    <w:rsid w:val="75C90DC8"/>
    <w:rsid w:val="76424E1E"/>
    <w:rsid w:val="7655679D"/>
    <w:rsid w:val="76612DCA"/>
    <w:rsid w:val="76816FC9"/>
    <w:rsid w:val="7701373C"/>
    <w:rsid w:val="770B61B1"/>
    <w:rsid w:val="783E2636"/>
    <w:rsid w:val="78DE6954"/>
    <w:rsid w:val="796A7D34"/>
    <w:rsid w:val="79751067"/>
    <w:rsid w:val="7A765096"/>
    <w:rsid w:val="7C3D0020"/>
    <w:rsid w:val="7C6B49A3"/>
    <w:rsid w:val="7D782ED3"/>
    <w:rsid w:val="7DC117CF"/>
    <w:rsid w:val="7DCB5D5D"/>
    <w:rsid w:val="7DD23884"/>
    <w:rsid w:val="7E6474C5"/>
    <w:rsid w:val="7E6F077A"/>
    <w:rsid w:val="7E730B8E"/>
    <w:rsid w:val="7E7F0292"/>
    <w:rsid w:val="7E953F59"/>
    <w:rsid w:val="7EAF501B"/>
    <w:rsid w:val="7F2826D7"/>
    <w:rsid w:val="7F2C41D5"/>
    <w:rsid w:val="7F370B6C"/>
    <w:rsid w:val="7FDA13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qFormat="1" w:uiPriority="99" w:semiHidden="0" w:name="index 8"/>
    <w:lsdException w:uiPriority="99" w:name="index 9"/>
    <w:lsdException w:uiPriority="39" w:name="toc 1"/>
    <w:lsdException w:qFormat="1" w:unhideWhenUsed="0" w:uiPriority="0"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link w:val="30"/>
    <w:qFormat/>
    <w:uiPriority w:val="0"/>
    <w:pPr>
      <w:adjustRightInd w:val="0"/>
      <w:jc w:val="center"/>
      <w:textAlignment w:val="baseline"/>
      <w:outlineLvl w:val="1"/>
    </w:pPr>
    <w:rPr>
      <w:rFonts w:ascii="宋体" w:hAnsi="宋体"/>
      <w:kern w:val="0"/>
      <w:sz w:val="24"/>
      <w:szCs w:val="20"/>
    </w:rPr>
  </w:style>
  <w:style w:type="paragraph" w:styleId="3">
    <w:name w:val="heading 3"/>
    <w:basedOn w:val="1"/>
    <w:next w:val="1"/>
    <w:link w:val="35"/>
    <w:semiHidden/>
    <w:unhideWhenUsed/>
    <w:qFormat/>
    <w:uiPriority w:val="9"/>
    <w:pPr>
      <w:keepNext/>
      <w:keepLines/>
      <w:spacing w:before="260" w:after="260" w:line="416" w:lineRule="auto"/>
      <w:outlineLvl w:val="2"/>
    </w:pPr>
    <w:rPr>
      <w:b/>
      <w:bCs/>
      <w:sz w:val="32"/>
      <w:szCs w:val="32"/>
    </w:rPr>
  </w:style>
  <w:style w:type="paragraph" w:styleId="4">
    <w:name w:val="heading 4"/>
    <w:basedOn w:val="1"/>
    <w:next w:val="1"/>
    <w:link w:val="36"/>
    <w:semiHidden/>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5">
    <w:name w:val="index 8"/>
    <w:basedOn w:val="1"/>
    <w:next w:val="1"/>
    <w:unhideWhenUsed/>
    <w:qFormat/>
    <w:uiPriority w:val="99"/>
    <w:pPr>
      <w:ind w:left="1400" w:leftChars="1400"/>
    </w:pPr>
  </w:style>
  <w:style w:type="paragraph" w:styleId="6">
    <w:name w:val="Normal Indent"/>
    <w:basedOn w:val="1"/>
    <w:link w:val="29"/>
    <w:qFormat/>
    <w:uiPriority w:val="0"/>
    <w:pPr>
      <w:ind w:firstLine="420"/>
    </w:pPr>
    <w:rPr>
      <w:szCs w:val="20"/>
    </w:rPr>
  </w:style>
  <w:style w:type="paragraph" w:styleId="7">
    <w:name w:val="annotation text"/>
    <w:basedOn w:val="1"/>
    <w:link w:val="46"/>
    <w:semiHidden/>
    <w:unhideWhenUsed/>
    <w:qFormat/>
    <w:uiPriority w:val="99"/>
    <w:pPr>
      <w:jc w:val="left"/>
    </w:pPr>
  </w:style>
  <w:style w:type="paragraph" w:styleId="8">
    <w:name w:val="Body Text"/>
    <w:basedOn w:val="1"/>
    <w:next w:val="9"/>
    <w:link w:val="33"/>
    <w:qFormat/>
    <w:uiPriority w:val="0"/>
    <w:pPr>
      <w:spacing w:line="360" w:lineRule="auto"/>
    </w:pPr>
    <w:rPr>
      <w:b/>
      <w:bCs/>
      <w:sz w:val="24"/>
    </w:rPr>
  </w:style>
  <w:style w:type="paragraph" w:styleId="9">
    <w:name w:val="Body Text 2"/>
    <w:basedOn w:val="1"/>
    <w:qFormat/>
    <w:uiPriority w:val="0"/>
    <w:pPr>
      <w:spacing w:line="360" w:lineRule="auto"/>
    </w:pPr>
    <w:rPr>
      <w:sz w:val="24"/>
    </w:rPr>
  </w:style>
  <w:style w:type="paragraph" w:styleId="10">
    <w:name w:val="Body Text Indent"/>
    <w:basedOn w:val="1"/>
    <w:next w:val="11"/>
    <w:qFormat/>
    <w:uiPriority w:val="0"/>
    <w:pPr>
      <w:spacing w:after="120"/>
      <w:ind w:left="420" w:leftChars="200"/>
    </w:pPr>
  </w:style>
  <w:style w:type="paragraph" w:styleId="11">
    <w:name w:val="envelope return"/>
    <w:basedOn w:val="1"/>
    <w:qFormat/>
    <w:uiPriority w:val="0"/>
    <w:pPr>
      <w:snapToGrid w:val="0"/>
    </w:pPr>
    <w:rPr>
      <w:rFonts w:ascii="Arial" w:hAnsi="Arial"/>
    </w:rPr>
  </w:style>
  <w:style w:type="paragraph" w:styleId="12">
    <w:name w:val="Plain Text"/>
    <w:basedOn w:val="1"/>
    <w:next w:val="5"/>
    <w:link w:val="32"/>
    <w:qFormat/>
    <w:uiPriority w:val="0"/>
    <w:rPr>
      <w:rFonts w:ascii="宋体" w:hAnsi="Courier New"/>
      <w:szCs w:val="20"/>
    </w:rPr>
  </w:style>
  <w:style w:type="paragraph" w:styleId="13">
    <w:name w:val="footer"/>
    <w:basedOn w:val="1"/>
    <w:link w:val="25"/>
    <w:unhideWhenUsed/>
    <w:qFormat/>
    <w:uiPriority w:val="99"/>
    <w:pPr>
      <w:tabs>
        <w:tab w:val="center" w:pos="4153"/>
        <w:tab w:val="right" w:pos="8306"/>
      </w:tabs>
      <w:snapToGrid w:val="0"/>
      <w:jc w:val="left"/>
    </w:pPr>
    <w:rPr>
      <w:sz w:val="18"/>
      <w:szCs w:val="18"/>
    </w:rPr>
  </w:style>
  <w:style w:type="paragraph" w:styleId="14">
    <w:name w:val="header"/>
    <w:basedOn w:val="1"/>
    <w:link w:val="24"/>
    <w:unhideWhenUsed/>
    <w:qFormat/>
    <w:uiPriority w:val="99"/>
    <w:pPr>
      <w:pBdr>
        <w:bottom w:val="single" w:color="auto" w:sz="6" w:space="1"/>
      </w:pBdr>
      <w:tabs>
        <w:tab w:val="center" w:pos="4153"/>
        <w:tab w:val="right" w:pos="8306"/>
      </w:tabs>
      <w:snapToGrid w:val="0"/>
      <w:jc w:val="center"/>
    </w:pPr>
    <w:rPr>
      <w:sz w:val="18"/>
      <w:szCs w:val="18"/>
    </w:rPr>
  </w:style>
  <w:style w:type="paragraph" w:styleId="15">
    <w:name w:val="toc 2"/>
    <w:basedOn w:val="1"/>
    <w:next w:val="1"/>
    <w:qFormat/>
    <w:uiPriority w:val="0"/>
    <w:pPr>
      <w:ind w:left="420" w:leftChars="200"/>
    </w:pPr>
    <w:rPr>
      <w:rFonts w:ascii="宋体" w:hAnsi="宋体" w:cs="宋体"/>
      <w:sz w:val="24"/>
    </w:rPr>
  </w:style>
  <w:style w:type="paragraph" w:styleId="16">
    <w:name w:val="Normal (Web)"/>
    <w:basedOn w:val="1"/>
    <w:qFormat/>
    <w:uiPriority w:val="99"/>
    <w:pPr>
      <w:spacing w:before="100" w:beforeAutospacing="1" w:after="100" w:afterAutospacing="1"/>
      <w:jc w:val="left"/>
    </w:pPr>
    <w:rPr>
      <w:kern w:val="0"/>
      <w:sz w:val="24"/>
    </w:rPr>
  </w:style>
  <w:style w:type="paragraph" w:styleId="17">
    <w:name w:val="Body Text First Indent 2"/>
    <w:basedOn w:val="10"/>
    <w:qFormat/>
    <w:uiPriority w:val="0"/>
    <w:pPr>
      <w:ind w:firstLine="420" w:firstLineChars="200"/>
    </w:pPr>
  </w:style>
  <w:style w:type="table" w:styleId="19">
    <w:name w:val="Table Grid"/>
    <w:basedOn w:val="18"/>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Strong"/>
    <w:basedOn w:val="20"/>
    <w:qFormat/>
    <w:uiPriority w:val="22"/>
    <w:rPr>
      <w:b/>
    </w:rPr>
  </w:style>
  <w:style w:type="character" w:styleId="22">
    <w:name w:val="Emphasis"/>
    <w:basedOn w:val="20"/>
    <w:qFormat/>
    <w:uiPriority w:val="20"/>
    <w:rPr>
      <w:i/>
    </w:rPr>
  </w:style>
  <w:style w:type="paragraph" w:styleId="23">
    <w:name w:val="No Spacing"/>
    <w:qFormat/>
    <w:uiPriority w:val="0"/>
    <w:pPr>
      <w:widowControl w:val="0"/>
      <w:jc w:val="both"/>
    </w:pPr>
    <w:rPr>
      <w:rFonts w:ascii="Calibri" w:hAnsi="Calibri" w:eastAsia="宋体" w:cs="Times New Roman"/>
      <w:kern w:val="2"/>
      <w:sz w:val="21"/>
      <w:szCs w:val="22"/>
      <w:lang w:val="en-US" w:eastAsia="zh-CN" w:bidi="ar-SA"/>
    </w:rPr>
  </w:style>
  <w:style w:type="character" w:customStyle="1" w:styleId="24">
    <w:name w:val="页眉 字符"/>
    <w:basedOn w:val="20"/>
    <w:link w:val="14"/>
    <w:qFormat/>
    <w:uiPriority w:val="99"/>
    <w:rPr>
      <w:sz w:val="18"/>
      <w:szCs w:val="18"/>
    </w:rPr>
  </w:style>
  <w:style w:type="character" w:customStyle="1" w:styleId="25">
    <w:name w:val="页脚 字符"/>
    <w:basedOn w:val="20"/>
    <w:link w:val="13"/>
    <w:qFormat/>
    <w:uiPriority w:val="99"/>
    <w:rPr>
      <w:sz w:val="18"/>
      <w:szCs w:val="18"/>
    </w:rPr>
  </w:style>
  <w:style w:type="character" w:customStyle="1" w:styleId="26">
    <w:name w:val="标题 2 字符"/>
    <w:basedOn w:val="20"/>
    <w:semiHidden/>
    <w:qFormat/>
    <w:uiPriority w:val="9"/>
    <w:rPr>
      <w:rFonts w:asciiTheme="majorHAnsi" w:hAnsiTheme="majorHAnsi" w:eastAsiaTheme="majorEastAsia" w:cstheme="majorBidi"/>
      <w:b/>
      <w:bCs/>
      <w:sz w:val="32"/>
      <w:szCs w:val="32"/>
    </w:rPr>
  </w:style>
  <w:style w:type="character" w:customStyle="1" w:styleId="27">
    <w:name w:val="正文文本 字符"/>
    <w:basedOn w:val="20"/>
    <w:semiHidden/>
    <w:qFormat/>
    <w:uiPriority w:val="99"/>
    <w:rPr>
      <w:rFonts w:ascii="Times New Roman" w:hAnsi="Times New Roman" w:eastAsia="宋体" w:cs="Times New Roman"/>
      <w:szCs w:val="24"/>
    </w:rPr>
  </w:style>
  <w:style w:type="character" w:customStyle="1" w:styleId="28">
    <w:name w:val="纯文本 字符"/>
    <w:basedOn w:val="20"/>
    <w:semiHidden/>
    <w:qFormat/>
    <w:uiPriority w:val="99"/>
    <w:rPr>
      <w:rFonts w:hAnsi="Courier New" w:cs="Courier New" w:asciiTheme="minorEastAsia"/>
      <w:szCs w:val="24"/>
    </w:rPr>
  </w:style>
  <w:style w:type="character" w:customStyle="1" w:styleId="29">
    <w:name w:val="正文缩进 字符"/>
    <w:link w:val="6"/>
    <w:qFormat/>
    <w:uiPriority w:val="0"/>
    <w:rPr>
      <w:rFonts w:ascii="Times New Roman" w:hAnsi="Times New Roman" w:eastAsia="宋体" w:cs="Times New Roman"/>
      <w:szCs w:val="20"/>
    </w:rPr>
  </w:style>
  <w:style w:type="character" w:customStyle="1" w:styleId="30">
    <w:name w:val="标题 2 字符1"/>
    <w:link w:val="2"/>
    <w:qFormat/>
    <w:uiPriority w:val="0"/>
    <w:rPr>
      <w:rFonts w:ascii="宋体" w:hAnsi="宋体" w:eastAsia="宋体" w:cs="Times New Roman"/>
      <w:b/>
      <w:bCs/>
      <w:kern w:val="0"/>
      <w:sz w:val="24"/>
      <w:szCs w:val="20"/>
    </w:rPr>
  </w:style>
  <w:style w:type="paragraph" w:styleId="31">
    <w:name w:val="List Paragraph"/>
    <w:basedOn w:val="1"/>
    <w:qFormat/>
    <w:uiPriority w:val="34"/>
    <w:pPr>
      <w:ind w:firstLine="420" w:firstLineChars="200"/>
    </w:pPr>
    <w:rPr>
      <w:rFonts w:ascii="Calibri" w:hAnsi="Calibri"/>
      <w:szCs w:val="22"/>
    </w:rPr>
  </w:style>
  <w:style w:type="character" w:customStyle="1" w:styleId="32">
    <w:name w:val="纯文本 字符1"/>
    <w:link w:val="12"/>
    <w:qFormat/>
    <w:uiPriority w:val="0"/>
    <w:rPr>
      <w:rFonts w:ascii="宋体" w:hAnsi="Courier New" w:eastAsia="宋体" w:cs="Times New Roman"/>
      <w:szCs w:val="20"/>
    </w:rPr>
  </w:style>
  <w:style w:type="character" w:customStyle="1" w:styleId="33">
    <w:name w:val="正文文本 字符1"/>
    <w:link w:val="8"/>
    <w:qFormat/>
    <w:uiPriority w:val="0"/>
    <w:rPr>
      <w:rFonts w:ascii="Times New Roman" w:hAnsi="Times New Roman" w:eastAsia="宋体" w:cs="Times New Roman"/>
      <w:b/>
      <w:bCs/>
      <w:sz w:val="24"/>
      <w:szCs w:val="24"/>
    </w:rPr>
  </w:style>
  <w:style w:type="paragraph" w:customStyle="1" w:styleId="34">
    <w:name w:val="Table Paragraph"/>
    <w:basedOn w:val="1"/>
    <w:qFormat/>
    <w:uiPriority w:val="1"/>
    <w:pPr>
      <w:adjustRightInd w:val="0"/>
      <w:spacing w:line="360" w:lineRule="atLeast"/>
      <w:jc w:val="left"/>
      <w:textAlignment w:val="baseline"/>
    </w:pPr>
    <w:rPr>
      <w:rFonts w:ascii="Calibri" w:hAnsi="Calibri" w:eastAsia="Calibri"/>
      <w:kern w:val="0"/>
      <w:sz w:val="22"/>
      <w:szCs w:val="22"/>
      <w:lang w:eastAsia="en-US"/>
    </w:rPr>
  </w:style>
  <w:style w:type="character" w:customStyle="1" w:styleId="35">
    <w:name w:val="标题 3 字符"/>
    <w:basedOn w:val="20"/>
    <w:link w:val="3"/>
    <w:semiHidden/>
    <w:qFormat/>
    <w:uiPriority w:val="9"/>
    <w:rPr>
      <w:rFonts w:ascii="Times New Roman" w:hAnsi="Times New Roman" w:eastAsia="宋体" w:cs="Times New Roman"/>
      <w:b/>
      <w:bCs/>
      <w:sz w:val="32"/>
      <w:szCs w:val="32"/>
    </w:rPr>
  </w:style>
  <w:style w:type="character" w:customStyle="1" w:styleId="36">
    <w:name w:val="标题 4 字符"/>
    <w:basedOn w:val="20"/>
    <w:link w:val="4"/>
    <w:semiHidden/>
    <w:qFormat/>
    <w:uiPriority w:val="9"/>
    <w:rPr>
      <w:rFonts w:asciiTheme="majorHAnsi" w:hAnsiTheme="majorHAnsi" w:eastAsiaTheme="majorEastAsia" w:cstheme="majorBidi"/>
      <w:b/>
      <w:bCs/>
      <w:sz w:val="28"/>
      <w:szCs w:val="28"/>
    </w:rPr>
  </w:style>
  <w:style w:type="character" w:customStyle="1" w:styleId="37">
    <w:name w:val="font21"/>
    <w:basedOn w:val="20"/>
    <w:qFormat/>
    <w:uiPriority w:val="0"/>
    <w:rPr>
      <w:rFonts w:hint="eastAsia" w:ascii="宋体" w:hAnsi="宋体" w:eastAsia="宋体" w:cs="宋体"/>
      <w:color w:val="000000"/>
      <w:sz w:val="22"/>
      <w:szCs w:val="22"/>
      <w:u w:val="none"/>
    </w:rPr>
  </w:style>
  <w:style w:type="paragraph" w:customStyle="1" w:styleId="38">
    <w:name w:val="列表段落1"/>
    <w:basedOn w:val="1"/>
    <w:qFormat/>
    <w:uiPriority w:val="99"/>
    <w:pPr>
      <w:ind w:firstLine="420" w:firstLineChars="200"/>
    </w:pPr>
  </w:style>
  <w:style w:type="paragraph" w:customStyle="1" w:styleId="39">
    <w:name w:val="正文_1"/>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40">
    <w:name w:val="font31"/>
    <w:basedOn w:val="20"/>
    <w:qFormat/>
    <w:uiPriority w:val="0"/>
    <w:rPr>
      <w:rFonts w:hint="eastAsia" w:ascii="宋体" w:hAnsi="宋体" w:eastAsia="宋体" w:cs="宋体"/>
      <w:color w:val="000000"/>
      <w:sz w:val="20"/>
      <w:szCs w:val="20"/>
      <w:u w:val="none"/>
    </w:rPr>
  </w:style>
  <w:style w:type="character" w:customStyle="1" w:styleId="41">
    <w:name w:val="font71"/>
    <w:basedOn w:val="20"/>
    <w:qFormat/>
    <w:uiPriority w:val="0"/>
    <w:rPr>
      <w:rFonts w:hint="default" w:ascii="Times New Roman" w:hAnsi="Times New Roman" w:cs="Times New Roman"/>
      <w:color w:val="000000"/>
      <w:sz w:val="20"/>
      <w:szCs w:val="20"/>
      <w:u w:val="none"/>
    </w:rPr>
  </w:style>
  <w:style w:type="paragraph" w:customStyle="1" w:styleId="42">
    <w:name w:val="列出段落1"/>
    <w:basedOn w:val="1"/>
    <w:qFormat/>
    <w:uiPriority w:val="99"/>
    <w:pPr>
      <w:ind w:firstLine="420" w:firstLineChars="200"/>
    </w:pPr>
    <w:rPr>
      <w:rFonts w:ascii="Calibri" w:hAnsi="Calibri"/>
    </w:rPr>
  </w:style>
  <w:style w:type="paragraph" w:customStyle="1" w:styleId="43">
    <w:name w:val="Default"/>
    <w:autoRedefine/>
    <w:qFormat/>
    <w:uiPriority w:val="0"/>
    <w:pPr>
      <w:widowControl w:val="0"/>
      <w:autoSpaceDE w:val="0"/>
      <w:autoSpaceDN w:val="0"/>
      <w:adjustRightInd w:val="0"/>
    </w:pPr>
    <w:rPr>
      <w:rFonts w:ascii="H Yb 2gj" w:hAnsi="Times New Roman" w:eastAsia="H Yb 2gj" w:cs="H Yb 2gj"/>
      <w:color w:val="000000"/>
      <w:sz w:val="24"/>
      <w:szCs w:val="24"/>
      <w:lang w:val="en-US" w:eastAsia="zh-CN" w:bidi="ar-SA"/>
    </w:rPr>
  </w:style>
  <w:style w:type="paragraph" w:customStyle="1" w:styleId="44">
    <w:name w:val="Table Text"/>
    <w:basedOn w:val="1"/>
    <w:semiHidden/>
    <w:qFormat/>
    <w:uiPriority w:val="0"/>
    <w:rPr>
      <w:rFonts w:ascii="宋体" w:hAnsi="宋体" w:cs="宋体"/>
      <w:sz w:val="25"/>
      <w:szCs w:val="25"/>
      <w:lang w:eastAsia="en-US"/>
    </w:rPr>
  </w:style>
  <w:style w:type="character" w:customStyle="1" w:styleId="45">
    <w:name w:val="font11"/>
    <w:basedOn w:val="20"/>
    <w:qFormat/>
    <w:uiPriority w:val="0"/>
    <w:rPr>
      <w:rFonts w:hint="eastAsia" w:ascii="宋体" w:hAnsi="宋体" w:eastAsia="宋体" w:cs="宋体"/>
      <w:color w:val="000000"/>
      <w:sz w:val="22"/>
      <w:szCs w:val="22"/>
      <w:u w:val="none"/>
    </w:rPr>
  </w:style>
  <w:style w:type="character" w:customStyle="1" w:styleId="46">
    <w:name w:val="批注文字 字符"/>
    <w:basedOn w:val="20"/>
    <w:link w:val="7"/>
    <w:qFormat/>
    <w:uiPriority w:val="0"/>
  </w:style>
  <w:style w:type="paragraph" w:customStyle="1" w:styleId="47">
    <w:name w:val="null3"/>
    <w:hidden/>
    <w:qFormat/>
    <w:uiPriority w:val="0"/>
    <w:rPr>
      <w:rFonts w:hint="eastAsia" w:asciiTheme="minorHAnsi" w:hAnsiTheme="minorHAnsi" w:eastAsiaTheme="minorEastAsia" w:cstheme="minorBidi"/>
      <w:lang w:val="en-US" w:eastAsia="zh-Hans" w:bidi="ar-SA"/>
    </w:rPr>
  </w:style>
  <w:style w:type="paragraph" w:customStyle="1" w:styleId="48">
    <w:name w:val="彩色列表 - 强调文字颜色 111"/>
    <w:basedOn w:val="1"/>
    <w:qFormat/>
    <w:uiPriority w:val="0"/>
    <w:pPr>
      <w:ind w:firstLine="420" w:firstLineChars="200"/>
    </w:pPr>
  </w:style>
  <w:style w:type="paragraph" w:customStyle="1" w:styleId="49">
    <w:name w:val="修订1"/>
    <w:hidden/>
    <w:semiHidden/>
    <w:qFormat/>
    <w:uiPriority w:val="99"/>
    <w:rPr>
      <w:rFonts w:ascii="Times New Roman" w:hAnsi="Times New Roman" w:eastAsia="宋体" w:cs="Times New Roman"/>
      <w:kern w:val="2"/>
      <w:sz w:val="21"/>
      <w:szCs w:val="24"/>
      <w:lang w:val="en-US" w:eastAsia="zh-CN" w:bidi="ar-SA"/>
    </w:rPr>
  </w:style>
  <w:style w:type="paragraph" w:customStyle="1" w:styleId="50">
    <w:name w:val="py-1"/>
    <w:basedOn w:val="1"/>
    <w:qFormat/>
    <w:uiPriority w:val="0"/>
    <w:pPr>
      <w:widowControl/>
      <w:spacing w:before="100" w:beforeAutospacing="1" w:after="10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095e09c0-9b58-4144-be86-97d6c505f9af</errorID>
      <errorWord>医院医院</errorWord>
      <group>L1_Word</group>
      <groupName>字词问题</groupName>
      <ability>L2_Typo</ability>
      <abilityName>字词错误</abilityName>
      <candidateList>
        <item>医院</item>
      </candidateList>
      <explain/>
      <paraID> 15EDB47</paraID>
      <start>11</start>
      <end>13</end>
      <status>modified</status>
      <modifiedWord>医院</modifiedWord>
      <trackRevisions>false</trackRevisions>
    </reviewItem>
    <reviewItem>
      <errorID>7d5e26ec-ab07-4040-a881-b574a6ea8160</errorID>
      <errorWord>(</errorWord>
      <group>L1_Format</group>
      <groupName>格式问题</groupName>
      <ability>L2_HalfPunc_CN</ability>
      <abilityName>全半角问题</abilityName>
      <candidateList>
        <item>（</item>
      </candidateList>
      <explain>文本全半角错误。</explain>
      <paraID>59608D58</paraID>
      <start>77</start>
      <end>78</end>
      <status>modified</status>
      <modifiedWord>（</modifiedWord>
      <trackRevisions>false</trackRevisions>
    </reviewItem>
    <reviewItem>
      <errorID>72247215-fc74-4354-89bc-0eca73a5ac02</errorID>
      <errorWord>区</errorWord>
      <group>L1_Word</group>
      <groupName>字词问题</groupName>
      <ability>L2_Typo</ability>
      <abilityName>字词错误</abilityName>
      <candidateList>
        <item>区位</item>
      </candidateList>
      <explain/>
      <paraID>681B5829</paraID>
      <start>25</start>
      <end>27</end>
      <status>modified</status>
      <modifiedWord>区位</modifiedWord>
      <trackRevisions>false</trackRevisions>
    </reviewItem>
    <reviewItem>
      <errorID>575482af-fc2a-4475-82b2-a1e2eb508ee0</errorID>
      <errorWord>kw</errorWord>
      <group>L1_Word</group>
      <groupName>字词问题</groupName>
      <ability>L2_Typo</ability>
      <abilityName>字词错误</abilityName>
      <candidateList>
        <item>kW</item>
      </candidateList>
      <explain/>
      <paraID>2D71639E</paraID>
      <start>5</start>
      <end>7</end>
      <status>modified</status>
      <modifiedWord>kW</modifiedWord>
      <trackRevisions>false</trackRevisions>
    </reviewItem>
    <reviewItem>
      <errorID>85a20827-03fd-46ef-baa7-f7b70d7e3d90</errorID>
      <errorWord>kw</errorWord>
      <group>L1_Word</group>
      <groupName>字词问题</groupName>
      <ability>L2_Typo</ability>
      <abilityName>字词错误</abilityName>
      <candidateList>
        <item>kW</item>
      </candidateList>
      <explain/>
      <paraID>615C7F34</paraID>
      <start>5</start>
      <end>7</end>
      <status>modified</status>
      <modifiedWord>kW</modifiedWord>
      <trackRevisions>false</trackRevisions>
    </reviewItem>
    <reviewItem>
      <errorID>d859ad1b-2f1c-4843-b5e1-78bc09523fba</errorID>
      <errorWord>{</errorWord>
      <group>L1_Format</group>
      <groupName>格式问题</groupName>
      <ability>L2_HalfPunc_CN</ability>
      <abilityName>全半角问题</abilityName>
      <candidateList>
        <item>｛</item>
      </candidateList>
      <explain>文本全半角错误。</explain>
      <paraID>12D833FE</paraID>
      <start>27</start>
      <end>28</end>
      <status>modified</status>
      <modifiedWord>｛</modifiedWord>
      <trackRevisions>false</trackRevisions>
    </reviewItem>
    <reviewItem>
      <errorID>8f703b93-1cf6-4c42-9f68-1e8c2f2676ce</errorID>
      <errorWord>}</errorWord>
      <group>L1_Format</group>
      <groupName>格式问题</groupName>
      <ability>L2_HalfPunc_CN</ability>
      <abilityName>全半角问题</abilityName>
      <candidateList>
        <item>｝</item>
      </candidateList>
      <explain>文本全半角错误。</explain>
      <paraID>12D833FE</paraID>
      <start>33</start>
      <end>34</end>
      <status>modified</status>
      <modifiedWord>｝</modifiedWord>
      <trackRevisions>false</trackRevisions>
    </reviewItem>
    <reviewItem>
      <errorID>54703b7e-de4a-4c08-a91a-b255c34c9522</errorID>
      <errorWord>{</errorWord>
      <group>L1_Format</group>
      <groupName>格式问题</groupName>
      <ability>L2_HalfPunc_CN</ability>
      <abilityName>全半角问题</abilityName>
      <candidateList>
        <item>｛</item>
      </candidateList>
      <explain>文本全半角错误。</explain>
      <paraID>12D833FE</paraID>
      <start>38</start>
      <end>39</end>
      <status>modified</status>
      <modifiedWord>｛</modifiedWord>
      <trackRevisions>false</trackRevisions>
    </reviewItem>
    <reviewItem>
      <errorID>d9e38eb4-3dfb-4b35-81f8-c55b45c34010</errorID>
      <errorWord>}</errorWord>
      <group>L1_Format</group>
      <groupName>格式问题</groupName>
      <ability>L2_HalfPunc_CN</ability>
      <abilityName>全半角问题</abilityName>
      <candidateList>
        <item>｝</item>
      </candidateList>
      <explain>文本全半角错误。</explain>
      <paraID>12D833FE</paraID>
      <start>41</start>
      <end>42</end>
      <status>modified</status>
      <modifiedWord>｝</modifiedWord>
      <trackRevisions>false</trackRevisions>
    </reviewItem>
    <reviewItem>
      <errorID>42e66359-24ab-4534-9a89-89c226ce3139</errorID>
      <errorWord>{</errorWord>
      <group>L1_Format</group>
      <groupName>格式问题</groupName>
      <ability>L2_HalfPunc_CN</ability>
      <abilityName>全半角问题</abilityName>
      <candidateList>
        <item>｛</item>
      </candidateList>
      <explain>文本全半角错误。</explain>
      <paraID>12D833FE</paraID>
      <start>46</start>
      <end>47</end>
      <status>modified</status>
      <modifiedWord>｛</modifiedWord>
      <trackRevisions>false</trackRevisions>
    </reviewItem>
    <reviewItem>
      <errorID>e21c45e1-97a0-4e69-838e-72828c52c656</errorID>
      <errorWord>PH值</errorWord>
      <group>L1_Word</group>
      <groupName>字词问题</groupName>
      <ability>L2_Typo</ability>
      <abilityName>字词错误</abilityName>
      <candidateList>
        <item>pH值</item>
      </candidateList>
      <explain/>
      <paraID>12D833FE</paraID>
      <start>49</start>
      <end>52</end>
      <status>modified</status>
      <modifiedWord>pH值</modifiedWord>
      <trackRevisions>false</trackRevisions>
    </reviewItem>
    <reviewItem>
      <errorID>eaa66d09-abc2-4c5b-8de9-5500e97b1997</errorID>
      <errorWord>}</errorWord>
      <group>L1_Format</group>
      <groupName>格式问题</groupName>
      <ability>L2_HalfPunc_CN</ability>
      <abilityName>全半角问题</abilityName>
      <candidateList>
        <item>｝</item>
      </candidateList>
      <explain>文本全半角错误。</explain>
      <paraID>12D833FE</paraID>
      <start>52</start>
      <end>53</end>
      <status>modified</status>
      <modifiedWord>｝</modifiedWord>
      <trackRevisions>false</trackRevisions>
    </reviewItem>
    <reviewItem>
      <errorID>08df6800-ef9b-4c34-94a7-7dd2ca4451e5</errorID>
      <errorWord>{</errorWord>
      <group>L1_Format</group>
      <groupName>格式问题</groupName>
      <ability>L2_HalfPunc_CN</ability>
      <abilityName>全半角问题</abilityName>
      <candidateList>
        <item>｛</item>
      </candidateList>
      <explain>文本全半角错误。</explain>
      <paraID>12D833FE</paraID>
      <start>59</start>
      <end>60</end>
      <status>modified</status>
      <modifiedWord>｛</modifiedWord>
      <trackRevisions>false</trackRevisions>
    </reviewItem>
    <reviewItem>
      <errorID>056b2947-ce11-4f5d-96e7-442789b60be6</errorID>
      <errorWord>}</errorWord>
      <group>L1_Format</group>
      <groupName>格式问题</groupName>
      <ability>L2_HalfPunc_CN</ability>
      <abilityName>全半角问题</abilityName>
      <candidateList>
        <item>｝</item>
      </candidateList>
      <explain>文本全半角错误。</explain>
      <paraID>12D833FE</paraID>
      <start>84</start>
      <end>85</end>
      <status>modified</status>
      <modifiedWord>｝</modifiedWord>
      <trackRevisions>false</trackRevisions>
    </reviewItem>
    <reviewItem>
      <errorID>2248c9f2-acf8-4e67-a811-6da86070036d</errorID>
      <errorWord>{</errorWord>
      <group>L1_Format</group>
      <groupName>格式问题</groupName>
      <ability>L2_HalfPunc_CN</ability>
      <abilityName>全半角问题</abilityName>
      <candidateList>
        <item>｛</item>
      </candidateList>
      <explain>文本全半角错误。</explain>
      <paraID>12D833FE</paraID>
      <start>89</start>
      <end>90</end>
      <status>modified</status>
      <modifiedWord>｛</modifiedWord>
      <trackRevisions>false</trackRevisions>
    </reviewItem>
    <reviewItem>
      <errorID>2763d63f-d53f-4960-8c36-5c53b0905f85</errorID>
      <errorWord>}</errorWord>
      <group>L1_Format</group>
      <groupName>格式问题</groupName>
      <ability>L2_HalfPunc_CN</ability>
      <abilityName>全半角问题</abilityName>
      <candidateList>
        <item>｝</item>
      </candidateList>
      <explain>文本全半角错误。</explain>
      <paraID>12D833FE</paraID>
      <start>122</start>
      <end>123</end>
      <status>modified</status>
      <modifiedWord>｝</modifiedWord>
      <trackRevisions>false</trackRevisions>
    </reviewItem>
    <reviewItem>
      <errorID>90c029b2-d068-4969-ae79-04cf2a27429e</errorID>
      <errorWord>{</errorWord>
      <group>L1_Format</group>
      <groupName>格式问题</groupName>
      <ability>L2_HalfPunc_CN</ability>
      <abilityName>全半角问题</abilityName>
      <candidateList>
        <item>｛</item>
      </candidateList>
      <explain>文本全半角错误。</explain>
      <paraID>12D833FE</paraID>
      <start>129</start>
      <end>130</end>
      <status>modified</status>
      <modifiedWord>｛</modifiedWord>
      <trackRevisions>false</trackRevisions>
    </reviewItem>
    <reviewItem>
      <errorID>96b2e383-3f1e-4022-b591-314626ac8b1c</errorID>
      <errorWord>PH值</errorWord>
      <group>L1_Word</group>
      <groupName>字词问题</groupName>
      <ability>L2_Typo</ability>
      <abilityName>字词错误</abilityName>
      <candidateList>
        <item>pH值</item>
      </candidateList>
      <explain/>
      <paraID>12D833FE</paraID>
      <start>139</start>
      <end>142</end>
      <status>modified</status>
      <modifiedWord>pH值</modifiedWord>
      <trackRevisions>false</trackRevisions>
    </reviewItem>
    <reviewItem>
      <errorID>a5fbc76c-b023-45c0-9687-242638c53b70</errorID>
      <errorWord>}</errorWord>
      <group>L1_Format</group>
      <groupName>格式问题</groupName>
      <ability>L2_HalfPunc_CN</ability>
      <abilityName>全半角问题</abilityName>
      <candidateList>
        <item>｝</item>
      </candidateList>
      <explain>文本全半角错误。</explain>
      <paraID>12D833FE</paraID>
      <start>142</start>
      <end>143</end>
      <status>modified</status>
      <modifiedWord>｝</modifiedWord>
      <trackRevisions>false</trackRevisions>
    </reviewItem>
    <reviewItem>
      <errorID>e726ed11-0c65-4d2d-b6b7-553d120178e8</errorID>
      <errorWord>{</errorWord>
      <group>L1_Format</group>
      <groupName>格式问题</groupName>
      <ability>L2_HalfPunc_CN</ability>
      <abilityName>全半角问题</abilityName>
      <candidateList>
        <item>｛</item>
      </candidateList>
      <explain>文本全半角错误。</explain>
      <paraID>12D833FE</paraID>
      <start>147</start>
      <end>148</end>
      <status>modified</status>
      <modifiedWord>｛</modifiedWord>
      <trackRevisions>false</trackRevisions>
    </reviewItem>
    <reviewItem>
      <errorID>33be7088-6ee4-47a1-ac0e-5aa1488232fc</errorID>
      <errorWord>}</errorWord>
      <group>L1_Format</group>
      <groupName>格式问题</groupName>
      <ability>L2_HalfPunc_CN</ability>
      <abilityName>全半角问题</abilityName>
      <candidateList>
        <item>｝</item>
      </candidateList>
      <explain>文本全半角错误。</explain>
      <paraID>12D833FE</paraID>
      <start>164</start>
      <end>165</end>
      <status>modified</status>
      <modifiedWord>｝</modifiedWord>
      <trackRevisions>false</trackRevisions>
    </reviewItem>
    <reviewItem>
      <errorID>9a4ae8d8-6f08-4816-833a-95055c4b300a</errorID>
      <errorWord>1千</errorWord>
      <group>L1_Knowledge</group>
      <groupName>知识性问题</groupName>
      <ability>L2_Knowledge</ability>
      <abilityName>其他知识</abilityName>
      <candidateList>
        <item>1000</item>
      </candidateList>
      <explain>根据GB/T 15835-2011规定，只有“万”、“亿可以与阿拉伯数字混用，例如：“4万”、“4亿”、“4万亿”等。其他情况应统一使用阿拉伯数字。</explain>
      <paraID>7E26E012</paraID>
      <start>57</start>
      <end>61</end>
      <status>modified</status>
      <modifiedWord>1000</modifiedWord>
      <trackRevisions>false</trackRevisions>
    </reviewItem>
    <reviewItem>
      <errorID>71044220-f5aa-4f8f-b323-be4d60fb0789</errorID>
      <errorWord>签定</errorWord>
      <group>L1_Word</group>
      <groupName>字词问题</groupName>
      <ability>L2_Typo</ability>
      <abilityName>字词错误</abilityName>
      <candidateList>
        <item>签订</item>
      </candidateList>
      <explain/>
      <paraID>7E26E012</paraID>
      <start>136</start>
      <end>138</end>
      <status>modified</status>
      <modifiedWord>签订</modifiedWord>
      <trackRevisions>false</trackRevisions>
    </reviewItem>
    <reviewItem>
      <errorID>cef933c5-ee22-45f7-ad9e-cb1a5d470be6</errorID>
      <errorWord>，</errorWord>
      <group>L1_Word</group>
      <groupName>字词问题</groupName>
      <ability>L2_Typo</ability>
      <abilityName>字词错误</abilityName>
      <candidateList>
        <item>，在</item>
      </candidateList>
      <explain/>
      <paraID>7E26E012</paraID>
      <start>143</start>
      <end>145</end>
      <status>modified</status>
      <modifiedWord>，在</modifiedWord>
      <trackRevisions>false</trackRevisions>
    </reviewItem>
    <reviewItem>
      <errorID>0757ecf8-73d1-4c2e-a535-20c400184e36</errorID>
      <errorWord>做</errorWord>
      <group>L1_Word</group>
      <groupName>字词问题</groupName>
      <ability>L2_Typo</ability>
      <abilityName>字词错误</abilityName>
      <candidateList>
        <item>作</item>
      </candidateList>
      <explain>存在发音相同字词的误用。</explain>
      <paraID>7E26E012</paraID>
      <start>151</start>
      <end>152</end>
      <status>modified</status>
      <modifiedWord>作</modifiedWord>
      <trackRevisions>false</trackRevisions>
    </reviewItem>
    <reviewItem>
      <errorID>d9b65b45-478b-452e-a3d8-d33a9f3b8088</errorID>
      <errorWord>复印件加盖</errorWord>
      <group>L1_Word</group>
      <groupName>字词问题</groupName>
      <ability>L2_Typo</ability>
      <abilityName>字词错误</abilityName>
      <candidateList>
        <item>复印件并加盖</item>
      </candidateList>
      <explain/>
      <paraID>23CD192B</paraID>
      <start>61</start>
      <end>67</end>
      <status>modified</status>
      <modifiedWord>复印件并加盖</modifiedWord>
      <trackRevisions>false</trackRevisions>
    </reviewItem>
    <reviewItem>
      <errorID>bbf349a0-287c-48e6-a896-e64ba1920df0</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483CC379</paraID>
      <start>116</start>
      <end>118</end>
      <status>modified</status>
      <modifiedWord>”“</modifiedWord>
      <trackRevisions>false</trackRevisions>
    </reviewItem>
    <reviewItem>
      <errorID>b10750e7-b20a-46a2-8042-7ed38ae0d238</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483CC379</paraID>
      <start>145</start>
      <end>147</end>
      <status>modified</status>
      <modifiedWord>”“</modifiedWord>
      <trackRevisions>false</trackRevisions>
    </reviewItem>
    <reviewItem>
      <errorID>ec1b8dc6-7047-42ba-929c-b7c4bb0eee93</errorID>
      <errorWord>。】</errorWord>
      <group>L1_Punc</group>
      <groupName>标点问题</groupName>
      <ability>L2_Punc_CN</ability>
      <abilityName>标点符号问题</abilityName>
      <candidateList>
        <item>】</item>
      </candidateList>
      <explain/>
      <paraID>483CC379</paraID>
      <start>216</start>
      <end>217</end>
      <status>modified</status>
      <modifiedWord>】</modifiedWord>
      <trackRevisions>false</trackRevisions>
    </reviewItem>
    <reviewItem>
      <errorID>754e9ff9-e02b-47be-a43d-50a39c56e589</errorID>
      <errorWord>（</errorWord>
      <group>L1_Punc</group>
      <groupName>标点问题</groupName>
      <ability>L2_Punc_CN</ability>
      <abilityName>标点符号问题</abilityName>
      <candidateList/>
      <explain>同一形式括号套用。</explain>
      <paraID>3B15A61F</paraID>
      <start>31</start>
      <end>32</end>
      <status>ignored</status>
      <modifiedWord/>
      <trackRevisions>false</trackRevisions>
    </reviewItem>
    <reviewItem>
      <errorID>4791f60c-460d-44bf-bc3a-fe9354b03e67</errorID>
      <errorWord>）</errorWord>
      <group>L1_Punc</group>
      <groupName>标点问题</groupName>
      <ability>L2_Punc_CN</ability>
      <abilityName>标点符号问题</abilityName>
      <candidateList/>
      <explain>同一形式括号套用。</explain>
      <paraID>3B15A61F</paraID>
      <start>34</start>
      <end>35</end>
      <status>ignored</status>
      <modifiedWord/>
      <trackRevisions>false</trackRevisions>
    </reviewItem>
    <reviewItem>
      <errorID>9692c2b0-651d-4732-997e-c3539f4542f6</errorID>
      <errorWord>依</errorWord>
      <group>L1_Word</group>
      <groupName>字词问题</groupName>
      <ability>L2_Typo</ability>
      <abilityName>字词错误</abilityName>
      <candidateList>
        <item>依据</item>
      </candidateList>
      <explain/>
      <paraID> D0C9387</paraID>
      <start>64</start>
      <end>66</end>
      <status>modified</status>
      <modifiedWord>依据</modifiedWord>
      <trackRevisions>false</trackRevisions>
    </reviewItem>
    <reviewItem>
      <errorID>f191ec7d-1be4-4f9c-96cd-a582905264eb</errorID>
      <errorWord>卫生部</errorWord>
      <group>L1_Knowledge</group>
      <groupName>知识性问题</groupName>
      <ability>L2_Organization</ability>
      <abilityName>机构检查</abilityName>
      <candidateList/>
      <explain>2013年3月，根据《国务院关于提请审议国务院机构改革和职能转变方案》的议案，组建国家卫生和计划生育委员会，不再保留卫生部。2018年3月，中共中央印发了《深化党和国家机构改革方案》，组建国家卫生健康委员会，不再保留国家卫生和计划生育委员会。</explain>
      <paraID>444B03EB</paraID>
      <start>83</start>
      <end>86</end>
      <status>ignored</status>
      <modifiedWord/>
      <trackRevisions>false</trackRevisions>
    </reviewItem>
    <reviewItem>
      <errorID>5b5f1da1-4202-4529-a001-56bce897d208</errorID>
      <errorWord>卫生部</errorWord>
      <group>L1_Knowledge</group>
      <groupName>知识性问题</groupName>
      <ability>L2_Organization</ability>
      <abilityName>机构检查</abilityName>
      <candidateList/>
      <explain>2013年3月，根据《国务院关于提请审议国务院机构改革和职能转变方案》的议案，组建国家卫生和计划生育委员会，不再保留卫生部。2018年3月，中共中央印发了《深化党和国家机构改革方案》，组建国家卫生健康委员会，不再保留国家卫生和计划生育委员会。</explain>
      <paraID>444B03EB</paraID>
      <start>132</start>
      <end>135</end>
      <status>ignored</status>
      <modifiedWord/>
      <trackRevisions>false</trackRevisions>
    </reviewItem>
    <reviewItem>
      <errorID>56a94910-d854-4f59-aff6-5f03b38761b1</errorID>
      <errorWord>1千</errorWord>
      <group>L1_Knowledge</group>
      <groupName>知识性问题</groupName>
      <ability>L2_Knowledge</ability>
      <abilityName>其他知识</abilityName>
      <candidateList>
        <item>1000</item>
      </candidateList>
      <explain>根据GB/T 15835-2011规定，只有“万”、“亿可以与阿拉伯数字混用，例如：“4万”、“4亿”、“4万亿”等。其他情况应统一使用阿拉伯数字。</explain>
      <paraID>27609015</paraID>
      <start>51</start>
      <end>55</end>
      <status>modified</status>
      <modifiedWord>1000</modifiedWord>
      <trackRevisions>false</trackRevisions>
    </reviewItem>
    <reviewItem>
      <errorID>0973fe40-b8bb-4664-98a6-a4232089b4f4</errorID>
      <errorWord>1千</errorWord>
      <group>L1_Knowledge</group>
      <groupName>知识性问题</groupName>
      <ability>L2_Knowledge</ability>
      <abilityName>其他知识</abilityName>
      <candidateList>
        <item>1000</item>
      </candidateList>
      <explain>根据GB/T 15835-2011规定，只有“万”、“亿可以与阿拉伯数字混用，例如：“4万”、“4亿”、“4万亿”等。其他情况应统一使用阿拉伯数字。</explain>
      <paraID>27609015</paraID>
      <start>74</start>
      <end>78</end>
      <status>modified</status>
      <modifiedWord>1000</modifiedWord>
      <trackRevisions>false</trackRevisions>
    </reviewItem>
    <reviewItem>
      <errorID>46e7c19b-334c-42ae-b60b-27a4e85caddb</errorID>
      <errorWord>即时</errorWord>
      <group>L1_Word</group>
      <groupName>字词问题</groupName>
      <ability>L2_Typo</ability>
      <abilityName>字词错误</abilityName>
      <candidateList>
        <item>及时</item>
      </candidateList>
      <explain>存在发音相同字词的误用。</explain>
      <paraID>27609015</paraID>
      <start>85</start>
      <end>87</end>
      <status>modified</status>
      <modifiedWord>及时</modifiedWord>
      <trackRevisions>false</trackRevisions>
    </reviewItem>
    <reviewItem>
      <errorID>339a2304-7231-4ba0-a285-d4f0659ee9c0</errorID>
      <errorWord>，</errorWord>
      <group>L1_Word</group>
      <groupName>字词问题</groupName>
      <ability>L2_Typo</ability>
      <abilityName>字词错误</abilityName>
      <candidateList>
        <item>，包</item>
      </candidateList>
      <explain/>
      <paraID>7C651FF5</paraID>
      <start>9</start>
      <end>11</end>
      <status>modified</status>
      <modifiedWord>，包</modifiedWord>
      <trackRevisions>false</trackRevisions>
    </reviewItem>
    <reviewItem>
      <errorID>62fb07c9-5a45-431f-ae88-48a13eda4be5</errorID>
      <errorWord>必须是</errorWord>
      <group>L1_Word</group>
      <groupName>字词问题</groupName>
      <ability>L2_Typo</ability>
      <abilityName>字词错误</abilityName>
      <candidateList>
        <item>必须</item>
      </candidateList>
      <explain/>
      <paraID>1CC37161</paraID>
      <start>5</start>
      <end>7</end>
      <status>modified</status>
      <modifiedWord>必须</modifiedWord>
      <trackRevisions>false</trackRevisions>
    </reviewItem>
    <reviewItem>
      <errorID>91b817ab-536e-4303-aac7-4108dcd0f95f</errorID>
      <errorWord>每每</errorWord>
      <group>L1_Word</group>
      <groupName>字词问题</groupName>
      <ability>L2_Typo</ability>
      <abilityName>字词错误</abilityName>
      <candidateList>
        <item>每</item>
      </candidateList>
      <explain/>
      <paraID>59906B89</paraID>
      <start>15</start>
      <end>16</end>
      <status>modified</status>
      <modifiedWord>每</modifiedWord>
      <trackRevisions>false</trackRevisions>
    </reviewItem>
    <reviewItem>
      <errorID>4b2c2b02-cb5a-4c75-b464-a290b2b4ef6b</errorID>
      <errorWord>每每</errorWord>
      <group>L1_Word</group>
      <groupName>字词问题</groupName>
      <ability>L2_Typo</ability>
      <abilityName>字词错误</abilityName>
      <candidateList>
        <item>每</item>
      </candidateList>
      <explain/>
      <paraID>127E95F0</paraID>
      <start>15</start>
      <end>16</end>
      <status>modified</status>
      <modifiedWord>每</modifiedWord>
      <trackRevisions>false</trackRevisions>
    </reviewItem>
    <reviewItem>
      <errorID>19dd5d61-a1b0-458f-9aed-46382d851cd3</errorID>
      <errorWord>，</errorWord>
      <group>L1_Word</group>
      <groupName>字词问题</groupName>
      <ability>L2_Typo</ability>
      <abilityName>字词错误</abilityName>
      <candidateList>
        <item>，提</item>
      </candidateList>
      <explain/>
      <paraID>1DEE6C00</paraID>
      <start>55</start>
      <end>57</end>
      <status>modified</status>
      <modifiedWord>，提</modifiedWord>
      <trackRevisions>false</trackRevisions>
    </reviewItem>
    <reviewItem>
      <errorID>d51c8d2e-422a-4ac8-a528-9c2f421960a2</errorID>
      <errorWord>其它</errorWord>
      <group>L1_Word</group>
      <groupName>字词问题</groupName>
      <ability>L2_Alias</ability>
      <abilityName>也作/曾用词</abilityName>
      <candidateList>
        <item>其他</item>
      </candidateList>
      <explain>词汇[其它]为不规范表述或旧称，其规范书面表述为[其他]。</explain>
      <paraID>2FBFEE8A</paraID>
      <start>176</start>
      <end>178</end>
      <status>modified</status>
      <modifiedWord>其他</modifiedWord>
      <trackRevisions>false</trackRevisions>
    </reviewItem>
    <reviewItem>
      <errorID>041c320d-0698-4de7-a151-73a8904f602b</errorID>
      <errorWord>法律、法规</errorWord>
      <group>L1_Word</group>
      <groupName>字词问题</groupName>
      <ability>L2_Typo</ability>
      <abilityName>字词错误</abilityName>
      <candidateList>
        <item>法律法规</item>
      </candidateList>
      <explain/>
      <paraID>21626789</paraID>
      <start>7</start>
      <end>11</end>
      <status>modified</status>
      <modifiedWord>法律法规</modifiedWord>
      <trackRevisions>false</trackRevisions>
    </reviewItem>
    <reviewItem>
      <errorID>9c9ae6ac-017c-4669-9242-185755dbe01e</errorID>
      <errorWord>未</errorWord>
      <group>L1_Word</group>
      <groupName>字词问题</groupName>
      <ability>L2_Typo</ability>
      <abilityName>字词错误</abilityName>
      <candidateList>
        <item>未经</item>
      </candidateList>
      <explain/>
      <paraID>6F67C3E1</paraID>
      <start>56</start>
      <end>58</end>
      <status>modified</status>
      <modifiedWord>未经</modifiedWord>
      <trackRevisions>false</trackRevisions>
    </reviewItem>
    <reviewItem>
      <errorID>00a292f2-98a5-4c16-a280-a90b2bb9e8ed</errorID>
      <errorWord>其它</errorWord>
      <group>L1_Word</group>
      <groupName>字词问题</groupName>
      <ability>L2_Alias</ability>
      <abilityName>也作/曾用词</abilityName>
      <candidateList>
        <item>其他</item>
      </candidateList>
      <explain>词汇[其它]为不规范表述或旧称，其规范书面表述为[其他]。</explain>
      <paraID>47078D64</paraID>
      <start>21</start>
      <end>23</end>
      <status>modified</status>
      <modifiedWord>其他</modifiedWord>
      <trackRevisions>false</trackRevisions>
    </reviewItem>
    <reviewItem>
      <errorID>0e975dcc-526f-4f81-97a2-fd615c44939f</errorID>
      <errorWord>承当</errorWord>
      <group>L1_Word</group>
      <groupName>字词问题</groupName>
      <ability>L2_Typo</ability>
      <abilityName>字词错误</abilityName>
      <candidateList>
        <item>承担</item>
      </candidateList>
      <explain/>
      <paraID>30A9B8C2</paraID>
      <start>27</start>
      <end>29</end>
      <status>modified</status>
      <modifiedWord>承担</modifiedWord>
      <trackRevisions>false</trackRevisions>
    </reviewItem>
  </reviewItems>
  <config/>
</contractReview>
</file>

<file path=customXml/itemProps1.xml><?xml version="1.0" encoding="utf-8"?>
<ds:datastoreItem xmlns:ds="http://schemas.openxmlformats.org/officeDocument/2006/customXml" ds:itemID="{19995B5F-8D11-4955-BDDC-E11F23739E7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7782</Words>
  <Characters>8107</Characters>
  <Lines>61</Lines>
  <Paragraphs>17</Paragraphs>
  <TotalTime>0</TotalTime>
  <ScaleCrop>false</ScaleCrop>
  <LinksUpToDate>false</LinksUpToDate>
  <CharactersWithSpaces>8145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2024-09-13T22:53:00Z</dcterms:created>
  <dc:creator>王楠</dc:creator>
  <cp:lastModifiedBy>赖</cp:lastModifiedBy>
  <cp:lastPrinted>2024-12-04T07:33:00Z</cp:lastPrinted>
  <dcterms:modified xsi:type="dcterms:W3CDTF">2026-10-19T06:46:43Z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0D795D9D2419407B88DDF716388EAA23_13</vt:lpwstr>
  </property>
  <property fmtid="{D5CDD505-2E9C-101B-9397-08002B2CF9AE}" pid="4" name="KSOTemplateDocerSaveRecord">
    <vt:lpwstr>eyJoZGlkIjoiYTZjNWJjMmQyNGY0ODU0MTBiZTUzZjhmYTU4Nzc2NTEiLCJ1c2VySWQiOiIzOTMyMzMzNTUifQ==</vt:lpwstr>
  </property>
</Properties>
</file>