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1D6C5">
      <w:pPr>
        <w:spacing w:line="360" w:lineRule="auto"/>
        <w:jc w:val="center"/>
        <w:rPr>
          <w:rFonts w:hint="eastAsia" w:ascii="宋体" w:hAnsi="宋体" w:eastAsia="宋体" w:cs="宋体"/>
          <w:b/>
          <w:bCs/>
          <w:color w:val="auto"/>
          <w:sz w:val="21"/>
          <w:szCs w:val="21"/>
          <w:highlight w:val="none"/>
          <w:lang w:eastAsia="zh-CN"/>
        </w:rPr>
      </w:pPr>
      <w:bookmarkStart w:id="2" w:name="_GoBack"/>
      <w:r>
        <w:rPr>
          <w:rFonts w:hint="eastAsia" w:ascii="宋体" w:hAnsi="宋体" w:eastAsia="宋体" w:cs="宋体"/>
          <w:b/>
          <w:bCs/>
          <w:color w:val="auto"/>
          <w:sz w:val="21"/>
          <w:szCs w:val="21"/>
          <w:highlight w:val="none"/>
        </w:rPr>
        <w:t>深圳市福田区风湿病专科医院污水处理站运维服务项</w:t>
      </w:r>
      <w:r>
        <w:rPr>
          <w:rFonts w:hint="eastAsia" w:ascii="宋体" w:hAnsi="宋体" w:eastAsia="宋体" w:cs="宋体"/>
          <w:b/>
          <w:bCs/>
          <w:color w:val="auto"/>
          <w:sz w:val="21"/>
          <w:szCs w:val="21"/>
          <w:highlight w:val="none"/>
        </w:rPr>
        <w:t>目</w:t>
      </w:r>
      <w:r>
        <w:rPr>
          <w:rFonts w:hint="eastAsia" w:ascii="宋体" w:hAnsi="宋体" w:eastAsia="宋体" w:cs="宋体"/>
          <w:b/>
          <w:bCs/>
          <w:color w:val="auto"/>
          <w:sz w:val="21"/>
          <w:szCs w:val="21"/>
          <w:highlight w:val="none"/>
          <w:lang w:eastAsia="zh-CN"/>
        </w:rPr>
        <w:t>公开征集</w:t>
      </w:r>
      <w:r>
        <w:rPr>
          <w:rFonts w:hint="eastAsia" w:ascii="宋体" w:hAnsi="宋体" w:eastAsia="宋体" w:cs="宋体"/>
          <w:b/>
          <w:bCs/>
          <w:color w:val="auto"/>
          <w:sz w:val="21"/>
          <w:szCs w:val="21"/>
          <w:highlight w:val="none"/>
          <w:lang w:val="en-US" w:eastAsia="zh-CN"/>
        </w:rPr>
        <w:t>采购文件</w:t>
      </w:r>
    </w:p>
    <w:p w14:paraId="678C0313">
      <w:pPr>
        <w:numPr>
          <w:ilvl w:val="0"/>
          <w:numId w:val="1"/>
        </w:numPr>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项目名称：</w:t>
      </w:r>
      <w:r>
        <w:rPr>
          <w:rFonts w:hint="eastAsia" w:ascii="宋体" w:hAnsi="宋体" w:eastAsia="宋体" w:cs="宋体"/>
          <w:color w:val="auto"/>
          <w:sz w:val="21"/>
          <w:szCs w:val="21"/>
          <w:highlight w:val="none"/>
        </w:rPr>
        <w:t xml:space="preserve"> </w:t>
      </w:r>
    </w:p>
    <w:p w14:paraId="015EDB4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深圳市福田区风湿病专科医院污水处理站运维服务</w:t>
      </w:r>
    </w:p>
    <w:p w14:paraId="2F0EF16F">
      <w:pPr>
        <w:numPr>
          <w:ilvl w:val="0"/>
          <w:numId w:val="2"/>
        </w:num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服务期限：</w:t>
      </w:r>
    </w:p>
    <w:p w14:paraId="6B510378">
      <w:pPr>
        <w:spacing w:line="360" w:lineRule="auto"/>
        <w:ind w:firstLine="420" w:firstLineChars="200"/>
        <w:rPr>
          <w:rFonts w:hint="eastAsia" w:ascii="宋体" w:hAnsi="宋体" w:eastAsia="宋体" w:cs="宋体"/>
          <w:color w:val="auto"/>
          <w:kern w:val="0"/>
          <w:sz w:val="21"/>
          <w:szCs w:val="21"/>
          <w:highlight w:val="none"/>
          <w:lang w:bidi="ar"/>
        </w:rPr>
      </w:pPr>
      <w:r>
        <w:rPr>
          <w:rFonts w:hint="eastAsia" w:ascii="宋体" w:hAnsi="宋体" w:eastAsia="宋体" w:cs="宋体"/>
          <w:color w:val="auto"/>
          <w:sz w:val="21"/>
          <w:szCs w:val="21"/>
          <w:highlight w:val="none"/>
        </w:rPr>
        <w:t>本项目服务期限为自合同签订之日起一年，本合同期满后，采购人可根据项目需要、中标人合同履约情况及相关政策、法律规定决定合同期限是否延长。若需续签，双方可按相关规定办理合同续签手续，每次续签合同期限最长1年，总服务期最长不超过3年或36个月</w:t>
      </w:r>
      <w:r>
        <w:rPr>
          <w:rFonts w:hint="eastAsia" w:ascii="宋体" w:hAnsi="宋体" w:eastAsia="宋体" w:cs="宋体"/>
          <w:color w:val="auto"/>
          <w:kern w:val="0"/>
          <w:sz w:val="21"/>
          <w:szCs w:val="21"/>
          <w:highlight w:val="none"/>
          <w:lang w:bidi="ar"/>
        </w:rPr>
        <w:t>。</w:t>
      </w:r>
    </w:p>
    <w:p w14:paraId="1DFEF743">
      <w:pPr>
        <w:numPr>
          <w:ilvl w:val="0"/>
          <w:numId w:val="2"/>
        </w:num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项目背景/项目概况：</w:t>
      </w:r>
    </w:p>
    <w:p w14:paraId="59608D58">
      <w:pPr>
        <w:numPr>
          <w:ilvl w:val="0"/>
          <w:numId w:val="3"/>
        </w:numPr>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为保障污水处理站稳定运行及管理规范，本院现公开招标专业第三方运维公司，负责污水站日常运营。中标人必须确保处理后出水100%达到《医疗机构水污染物排放标准》（GB 18466-2005</w:t>
      </w:r>
      <w:r>
        <w:rPr>
          <w:rFonts w:hint="eastAsia" w:ascii="宋体" w:hAnsi="宋体" w:eastAsia="宋体" w:cs="宋体"/>
          <w:color w:val="auto"/>
          <w:sz w:val="21"/>
          <w:szCs w:val="21"/>
          <w:highlight w:val="none"/>
          <w:shd w:val="clear" w:color="auto" w:fill="FFFFFF"/>
          <w:lang w:eastAsia="zh-CN"/>
        </w:rPr>
        <w:t>）</w:t>
      </w:r>
      <w:r>
        <w:rPr>
          <w:rFonts w:hint="eastAsia" w:ascii="宋体" w:hAnsi="宋体" w:eastAsia="宋体" w:cs="宋体"/>
          <w:color w:val="auto"/>
          <w:sz w:val="21"/>
          <w:szCs w:val="21"/>
          <w:highlight w:val="none"/>
          <w:shd w:val="clear" w:color="auto" w:fill="FFFFFF"/>
        </w:rPr>
        <w:t xml:space="preserve"> 的预处理限值要求，并保证污水设施持续稳定运行。若后续主管部门发布新标准或要求，中标人须无条件适用并满足所有最新规定‌。</w:t>
      </w:r>
    </w:p>
    <w:p w14:paraId="681B5829">
      <w:pPr>
        <w:numPr>
          <w:ilvl w:val="0"/>
          <w:numId w:val="3"/>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服务范围：我院现有物业为</w:t>
      </w:r>
      <w:r>
        <w:rPr>
          <w:rFonts w:hint="eastAsia" w:ascii="宋体" w:hAnsi="宋体" w:eastAsia="宋体" w:cs="宋体"/>
          <w:color w:val="auto"/>
          <w:kern w:val="0"/>
          <w:sz w:val="21"/>
          <w:szCs w:val="21"/>
          <w:highlight w:val="none"/>
        </w:rPr>
        <w:t>农林院区</w:t>
      </w:r>
      <w:r>
        <w:rPr>
          <w:rFonts w:hint="eastAsia" w:ascii="宋体" w:hAnsi="宋体" w:eastAsia="宋体" w:cs="宋体"/>
          <w:color w:val="auto"/>
          <w:sz w:val="21"/>
          <w:szCs w:val="21"/>
          <w:highlight w:val="none"/>
        </w:rPr>
        <w:t>、福民院区，</w:t>
      </w:r>
      <w:r>
        <w:rPr>
          <w:rFonts w:hint="eastAsia" w:ascii="宋体" w:hAnsi="宋体" w:eastAsia="宋体" w:cs="宋体"/>
          <w:color w:val="auto"/>
          <w:kern w:val="0"/>
          <w:sz w:val="21"/>
          <w:szCs w:val="21"/>
          <w:highlight w:val="none"/>
        </w:rPr>
        <w:t>农林院区位</w:t>
      </w:r>
      <w:r>
        <w:rPr>
          <w:rFonts w:hint="eastAsia" w:ascii="宋体" w:hAnsi="宋体" w:eastAsia="宋体" w:cs="宋体"/>
          <w:color w:val="auto"/>
          <w:sz w:val="21"/>
          <w:szCs w:val="21"/>
          <w:highlight w:val="none"/>
        </w:rPr>
        <w:t>于福田区香蜜湖街道农林路22号，福民院区位于福田区福田街道金田路2002号。</w:t>
      </w:r>
    </w:p>
    <w:tbl>
      <w:tblPr>
        <w:tblStyle w:val="5"/>
        <w:tblW w:w="4873" w:type="pct"/>
        <w:jc w:val="center"/>
        <w:tblLayout w:type="fixed"/>
        <w:tblCellMar>
          <w:top w:w="0" w:type="dxa"/>
          <w:left w:w="108" w:type="dxa"/>
          <w:bottom w:w="0" w:type="dxa"/>
          <w:right w:w="108" w:type="dxa"/>
        </w:tblCellMar>
      </w:tblPr>
      <w:tblGrid>
        <w:gridCol w:w="1143"/>
        <w:gridCol w:w="2992"/>
        <w:gridCol w:w="4171"/>
      </w:tblGrid>
      <w:tr w14:paraId="31C022C2">
        <w:tblPrEx>
          <w:tblCellMar>
            <w:top w:w="0" w:type="dxa"/>
            <w:left w:w="108" w:type="dxa"/>
            <w:bottom w:w="0" w:type="dxa"/>
            <w:right w:w="108" w:type="dxa"/>
          </w:tblCellMar>
        </w:tblPrEx>
        <w:trPr>
          <w:trHeight w:val="585" w:hRule="atLeast"/>
          <w:jc w:val="center"/>
        </w:trPr>
        <w:tc>
          <w:tcPr>
            <w:tcW w:w="688"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7C120C03">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1800" w:type="pct"/>
            <w:tcBorders>
              <w:top w:val="single" w:color="auto" w:sz="4" w:space="0"/>
              <w:left w:val="nil"/>
              <w:bottom w:val="single" w:color="000000" w:sz="4" w:space="0"/>
              <w:right w:val="single" w:color="000000" w:sz="4" w:space="0"/>
            </w:tcBorders>
            <w:shd w:val="clear" w:color="auto" w:fill="auto"/>
            <w:noWrap/>
            <w:vAlign w:val="center"/>
          </w:tcPr>
          <w:p w14:paraId="5B63B73D">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位置</w:t>
            </w:r>
          </w:p>
        </w:tc>
        <w:tc>
          <w:tcPr>
            <w:tcW w:w="2510" w:type="pct"/>
            <w:tcBorders>
              <w:top w:val="single" w:color="auto" w:sz="4" w:space="0"/>
              <w:left w:val="nil"/>
              <w:bottom w:val="single" w:color="000000" w:sz="4" w:space="0"/>
              <w:right w:val="single" w:color="000000" w:sz="4" w:space="0"/>
            </w:tcBorders>
            <w:shd w:val="clear" w:color="auto" w:fill="auto"/>
            <w:noWrap/>
            <w:vAlign w:val="center"/>
          </w:tcPr>
          <w:p w14:paraId="20ECA69A">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污水处理工艺</w:t>
            </w:r>
          </w:p>
        </w:tc>
      </w:tr>
      <w:tr w14:paraId="4E735F14">
        <w:tblPrEx>
          <w:tblCellMar>
            <w:top w:w="0" w:type="dxa"/>
            <w:left w:w="108" w:type="dxa"/>
            <w:bottom w:w="0" w:type="dxa"/>
            <w:right w:w="108" w:type="dxa"/>
          </w:tblCellMar>
        </w:tblPrEx>
        <w:trPr>
          <w:trHeight w:val="495" w:hRule="atLeast"/>
          <w:jc w:val="center"/>
        </w:trPr>
        <w:tc>
          <w:tcPr>
            <w:tcW w:w="688" w:type="pct"/>
            <w:tcBorders>
              <w:top w:val="nil"/>
              <w:left w:val="single" w:color="000000" w:sz="4" w:space="0"/>
              <w:bottom w:val="single" w:color="000000" w:sz="4" w:space="0"/>
              <w:right w:val="single" w:color="000000" w:sz="4" w:space="0"/>
            </w:tcBorders>
            <w:shd w:val="clear" w:color="auto" w:fill="auto"/>
            <w:noWrap/>
            <w:vAlign w:val="center"/>
          </w:tcPr>
          <w:p w14:paraId="33024AE3">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800" w:type="pct"/>
            <w:tcBorders>
              <w:top w:val="nil"/>
              <w:left w:val="nil"/>
              <w:bottom w:val="single" w:color="000000" w:sz="4" w:space="0"/>
              <w:right w:val="single" w:color="000000" w:sz="4" w:space="0"/>
            </w:tcBorders>
            <w:shd w:val="clear" w:color="auto" w:fill="auto"/>
            <w:noWrap/>
            <w:vAlign w:val="center"/>
          </w:tcPr>
          <w:p w14:paraId="79FFBB35">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农林院区</w:t>
            </w:r>
          </w:p>
        </w:tc>
        <w:tc>
          <w:tcPr>
            <w:tcW w:w="2510" w:type="pct"/>
            <w:tcBorders>
              <w:top w:val="nil"/>
              <w:left w:val="nil"/>
              <w:bottom w:val="single" w:color="000000" w:sz="4" w:space="0"/>
              <w:right w:val="single" w:color="000000" w:sz="4" w:space="0"/>
            </w:tcBorders>
            <w:shd w:val="clear" w:color="auto" w:fill="auto"/>
            <w:noWrap/>
            <w:vAlign w:val="center"/>
          </w:tcPr>
          <w:p w14:paraId="2619FFB4">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预消毒+厌氧+泥膜共生+动态生物膜分离+消毒</w:t>
            </w:r>
          </w:p>
        </w:tc>
      </w:tr>
      <w:tr w14:paraId="3CC1DB68">
        <w:tblPrEx>
          <w:tblCellMar>
            <w:top w:w="0" w:type="dxa"/>
            <w:left w:w="108" w:type="dxa"/>
            <w:bottom w:w="0" w:type="dxa"/>
            <w:right w:w="108" w:type="dxa"/>
          </w:tblCellMar>
        </w:tblPrEx>
        <w:trPr>
          <w:trHeight w:val="495" w:hRule="atLeast"/>
          <w:jc w:val="center"/>
        </w:trPr>
        <w:tc>
          <w:tcPr>
            <w:tcW w:w="688" w:type="pct"/>
            <w:tcBorders>
              <w:top w:val="nil"/>
              <w:left w:val="single" w:color="000000" w:sz="4" w:space="0"/>
              <w:bottom w:val="single" w:color="000000" w:sz="4" w:space="0"/>
              <w:right w:val="single" w:color="000000" w:sz="4" w:space="0"/>
            </w:tcBorders>
            <w:shd w:val="clear" w:color="auto" w:fill="auto"/>
            <w:noWrap/>
            <w:vAlign w:val="center"/>
          </w:tcPr>
          <w:p w14:paraId="3B134F1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800" w:type="pct"/>
            <w:tcBorders>
              <w:top w:val="nil"/>
              <w:left w:val="nil"/>
              <w:bottom w:val="single" w:color="000000" w:sz="4" w:space="0"/>
              <w:right w:val="single" w:color="000000" w:sz="4" w:space="0"/>
            </w:tcBorders>
            <w:shd w:val="clear" w:color="auto" w:fill="auto"/>
            <w:vAlign w:val="center"/>
          </w:tcPr>
          <w:p w14:paraId="6ECD1FF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福民院区</w:t>
            </w:r>
          </w:p>
        </w:tc>
        <w:tc>
          <w:tcPr>
            <w:tcW w:w="2510" w:type="pct"/>
            <w:tcBorders>
              <w:top w:val="nil"/>
              <w:left w:val="nil"/>
              <w:bottom w:val="single" w:color="000000" w:sz="4" w:space="0"/>
              <w:right w:val="single" w:color="000000" w:sz="4" w:space="0"/>
            </w:tcBorders>
            <w:shd w:val="clear" w:color="auto" w:fill="auto"/>
            <w:noWrap/>
            <w:vAlign w:val="center"/>
          </w:tcPr>
          <w:p w14:paraId="0DE59CED">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接触氧化+沉淀+消毒</w:t>
            </w:r>
          </w:p>
        </w:tc>
      </w:tr>
    </w:tbl>
    <w:p w14:paraId="1B32E0D8">
      <w:pPr>
        <w:numPr>
          <w:ilvl w:val="0"/>
          <w:numId w:val="3"/>
        </w:numPr>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rPr>
        <w:t>污水处理站设备设施明细如下（文字描述不全的以医院现场实际情况为准）：</w:t>
      </w:r>
    </w:p>
    <w:tbl>
      <w:tblPr>
        <w:tblStyle w:val="5"/>
        <w:tblW w:w="4851" w:type="pct"/>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62"/>
        <w:gridCol w:w="2069"/>
        <w:gridCol w:w="3394"/>
        <w:gridCol w:w="1023"/>
        <w:gridCol w:w="1143"/>
      </w:tblGrid>
      <w:tr w14:paraId="187E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blHeader/>
        </w:trPr>
        <w:tc>
          <w:tcPr>
            <w:tcW w:w="399" w:type="pct"/>
            <w:tcMar>
              <w:top w:w="120" w:type="dxa"/>
              <w:left w:w="120" w:type="dxa"/>
              <w:bottom w:w="120" w:type="dxa"/>
              <w:right w:w="120" w:type="dxa"/>
            </w:tcMar>
            <w:vAlign w:val="center"/>
          </w:tcPr>
          <w:p w14:paraId="09E874B8">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1247" w:type="pct"/>
            <w:tcMar>
              <w:top w:w="120" w:type="dxa"/>
              <w:left w:w="120" w:type="dxa"/>
              <w:bottom w:w="120" w:type="dxa"/>
              <w:right w:w="120" w:type="dxa"/>
            </w:tcMar>
            <w:vAlign w:val="center"/>
          </w:tcPr>
          <w:p w14:paraId="35D27DCD">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名称</w:t>
            </w:r>
          </w:p>
        </w:tc>
        <w:tc>
          <w:tcPr>
            <w:tcW w:w="2046" w:type="pct"/>
            <w:tcMar>
              <w:top w:w="120" w:type="dxa"/>
              <w:left w:w="120" w:type="dxa"/>
              <w:bottom w:w="120" w:type="dxa"/>
              <w:right w:w="120" w:type="dxa"/>
            </w:tcMar>
            <w:vAlign w:val="center"/>
          </w:tcPr>
          <w:p w14:paraId="6730FBD6">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规格尺寸</w:t>
            </w:r>
          </w:p>
        </w:tc>
        <w:tc>
          <w:tcPr>
            <w:tcW w:w="617" w:type="pct"/>
            <w:tcMar>
              <w:top w:w="120" w:type="dxa"/>
              <w:left w:w="120" w:type="dxa"/>
              <w:bottom w:w="120" w:type="dxa"/>
              <w:right w:w="120" w:type="dxa"/>
            </w:tcMar>
            <w:vAlign w:val="center"/>
          </w:tcPr>
          <w:p w14:paraId="5D3A1CD4">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数量</w:t>
            </w:r>
          </w:p>
        </w:tc>
        <w:tc>
          <w:tcPr>
            <w:tcW w:w="689" w:type="pct"/>
            <w:tcMar>
              <w:top w:w="120" w:type="dxa"/>
              <w:left w:w="120" w:type="dxa"/>
              <w:bottom w:w="120" w:type="dxa"/>
              <w:right w:w="120" w:type="dxa"/>
            </w:tcMar>
            <w:vAlign w:val="center"/>
          </w:tcPr>
          <w:p w14:paraId="1970D3EC">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备注</w:t>
            </w:r>
          </w:p>
        </w:tc>
      </w:tr>
      <w:tr w14:paraId="52EE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399" w:type="pct"/>
            <w:tcMar>
              <w:top w:w="120" w:type="dxa"/>
              <w:left w:w="120" w:type="dxa"/>
              <w:bottom w:w="120" w:type="dxa"/>
              <w:right w:w="120" w:type="dxa"/>
            </w:tcMar>
            <w:vAlign w:val="center"/>
          </w:tcPr>
          <w:p w14:paraId="1D2C66F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47" w:type="pct"/>
            <w:tcMar>
              <w:top w:w="120" w:type="dxa"/>
              <w:left w:w="120" w:type="dxa"/>
              <w:bottom w:w="120" w:type="dxa"/>
              <w:right w:w="120" w:type="dxa"/>
            </w:tcMar>
            <w:vAlign w:val="center"/>
          </w:tcPr>
          <w:p w14:paraId="4B76F3BC">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潜污泵</w:t>
            </w:r>
          </w:p>
        </w:tc>
        <w:tc>
          <w:tcPr>
            <w:tcW w:w="2046" w:type="pct"/>
            <w:tcMar>
              <w:top w:w="120" w:type="dxa"/>
              <w:left w:w="120" w:type="dxa"/>
              <w:bottom w:w="120" w:type="dxa"/>
              <w:right w:w="120" w:type="dxa"/>
            </w:tcMar>
            <w:vAlign w:val="center"/>
          </w:tcPr>
          <w:p w14:paraId="2D71639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功率2.2kW扬程15m  流量25方电压380V</w:t>
            </w:r>
          </w:p>
        </w:tc>
        <w:tc>
          <w:tcPr>
            <w:tcW w:w="617" w:type="pct"/>
            <w:tcMar>
              <w:top w:w="120" w:type="dxa"/>
              <w:left w:w="120" w:type="dxa"/>
              <w:bottom w:w="120" w:type="dxa"/>
              <w:right w:w="120" w:type="dxa"/>
            </w:tcMar>
            <w:vAlign w:val="center"/>
          </w:tcPr>
          <w:p w14:paraId="72076296">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2台</w:t>
            </w:r>
          </w:p>
        </w:tc>
        <w:tc>
          <w:tcPr>
            <w:tcW w:w="689" w:type="pct"/>
            <w:tcMar>
              <w:top w:w="120" w:type="dxa"/>
              <w:left w:w="120" w:type="dxa"/>
              <w:bottom w:w="120" w:type="dxa"/>
              <w:right w:w="120" w:type="dxa"/>
            </w:tcMar>
            <w:vAlign w:val="center"/>
          </w:tcPr>
          <w:p w14:paraId="0329A51A">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p>
          <w:p w14:paraId="455B38B2">
            <w:pPr>
              <w:widowControl/>
              <w:jc w:val="left"/>
              <w:rPr>
                <w:rFonts w:hint="eastAsia" w:ascii="宋体" w:hAnsi="宋体" w:eastAsia="宋体" w:cs="宋体"/>
                <w:color w:val="auto"/>
                <w:kern w:val="0"/>
                <w:sz w:val="21"/>
                <w:szCs w:val="21"/>
                <w:highlight w:val="none"/>
              </w:rPr>
            </w:pPr>
          </w:p>
        </w:tc>
      </w:tr>
      <w:tr w14:paraId="1AA7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399" w:type="pct"/>
            <w:tcMar>
              <w:top w:w="120" w:type="dxa"/>
              <w:left w:w="120" w:type="dxa"/>
              <w:bottom w:w="120" w:type="dxa"/>
              <w:right w:w="120" w:type="dxa"/>
            </w:tcMar>
            <w:vAlign w:val="center"/>
          </w:tcPr>
          <w:p w14:paraId="123C9FD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247" w:type="pct"/>
            <w:tcMar>
              <w:top w:w="120" w:type="dxa"/>
              <w:left w:w="120" w:type="dxa"/>
              <w:bottom w:w="120" w:type="dxa"/>
              <w:right w:w="120" w:type="dxa"/>
            </w:tcMar>
            <w:vAlign w:val="center"/>
          </w:tcPr>
          <w:p w14:paraId="3ACCE43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不潜污泵</w:t>
            </w:r>
          </w:p>
        </w:tc>
        <w:tc>
          <w:tcPr>
            <w:tcW w:w="2046" w:type="pct"/>
            <w:tcMar>
              <w:top w:w="120" w:type="dxa"/>
              <w:left w:w="120" w:type="dxa"/>
              <w:bottom w:w="120" w:type="dxa"/>
              <w:right w:w="120" w:type="dxa"/>
            </w:tcMar>
            <w:vAlign w:val="center"/>
          </w:tcPr>
          <w:p w14:paraId="615C7F34">
            <w:pPr>
              <w:widowControl/>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功率1.5kW   扬程15m  流量15方 电压380V</w:t>
            </w:r>
          </w:p>
        </w:tc>
        <w:tc>
          <w:tcPr>
            <w:tcW w:w="617" w:type="pct"/>
            <w:tcMar>
              <w:top w:w="120" w:type="dxa"/>
              <w:left w:w="120" w:type="dxa"/>
              <w:bottom w:w="120" w:type="dxa"/>
              <w:right w:w="120" w:type="dxa"/>
            </w:tcMar>
            <w:vAlign w:val="center"/>
          </w:tcPr>
          <w:p w14:paraId="3488CA94">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1台</w:t>
            </w:r>
          </w:p>
        </w:tc>
        <w:tc>
          <w:tcPr>
            <w:tcW w:w="689" w:type="pct"/>
            <w:tcMar>
              <w:top w:w="120" w:type="dxa"/>
              <w:left w:w="120" w:type="dxa"/>
              <w:bottom w:w="120" w:type="dxa"/>
              <w:right w:w="120" w:type="dxa"/>
            </w:tcMar>
            <w:vAlign w:val="center"/>
          </w:tcPr>
          <w:p w14:paraId="059C597D">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p>
          <w:p w14:paraId="008469AD">
            <w:pPr>
              <w:widowControl/>
              <w:jc w:val="left"/>
              <w:rPr>
                <w:rFonts w:hint="eastAsia" w:ascii="宋体" w:hAnsi="宋体" w:eastAsia="宋体" w:cs="宋体"/>
                <w:color w:val="auto"/>
                <w:kern w:val="0"/>
                <w:sz w:val="21"/>
                <w:szCs w:val="21"/>
                <w:highlight w:val="none"/>
              </w:rPr>
            </w:pPr>
          </w:p>
        </w:tc>
      </w:tr>
      <w:tr w14:paraId="5BC9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399" w:type="pct"/>
            <w:tcMar>
              <w:top w:w="120" w:type="dxa"/>
              <w:left w:w="120" w:type="dxa"/>
              <w:bottom w:w="120" w:type="dxa"/>
              <w:right w:w="120" w:type="dxa"/>
            </w:tcMar>
            <w:vAlign w:val="center"/>
          </w:tcPr>
          <w:p w14:paraId="1958220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247" w:type="pct"/>
            <w:tcMar>
              <w:top w:w="120" w:type="dxa"/>
              <w:left w:w="120" w:type="dxa"/>
              <w:bottom w:w="120" w:type="dxa"/>
              <w:right w:w="120" w:type="dxa"/>
            </w:tcMar>
            <w:vAlign w:val="center"/>
          </w:tcPr>
          <w:p w14:paraId="651E734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脉冲计量泵</w:t>
            </w:r>
          </w:p>
        </w:tc>
        <w:tc>
          <w:tcPr>
            <w:tcW w:w="2046" w:type="pct"/>
            <w:tcMar>
              <w:top w:w="120" w:type="dxa"/>
              <w:left w:w="120" w:type="dxa"/>
              <w:bottom w:w="120" w:type="dxa"/>
              <w:right w:w="120" w:type="dxa"/>
            </w:tcMar>
            <w:vAlign w:val="center"/>
          </w:tcPr>
          <w:p w14:paraId="5C388976">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流量20L/H  电压220V 功率350w</w:t>
            </w:r>
          </w:p>
        </w:tc>
        <w:tc>
          <w:tcPr>
            <w:tcW w:w="617" w:type="pct"/>
            <w:tcMar>
              <w:top w:w="120" w:type="dxa"/>
              <w:left w:w="120" w:type="dxa"/>
              <w:bottom w:w="120" w:type="dxa"/>
              <w:right w:w="120" w:type="dxa"/>
            </w:tcMar>
            <w:vAlign w:val="center"/>
          </w:tcPr>
          <w:p w14:paraId="7FFE4F93">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2台</w:t>
            </w:r>
          </w:p>
        </w:tc>
        <w:tc>
          <w:tcPr>
            <w:tcW w:w="689" w:type="pct"/>
            <w:tcMar>
              <w:top w:w="120" w:type="dxa"/>
              <w:left w:w="120" w:type="dxa"/>
              <w:bottom w:w="120" w:type="dxa"/>
              <w:right w:w="120" w:type="dxa"/>
            </w:tcMar>
            <w:vAlign w:val="center"/>
          </w:tcPr>
          <w:p w14:paraId="5A3FC731">
            <w:pPr>
              <w:widowControl/>
              <w:jc w:val="left"/>
              <w:rPr>
                <w:rFonts w:hint="eastAsia" w:ascii="宋体" w:hAnsi="宋体" w:eastAsia="宋体" w:cs="宋体"/>
                <w:color w:val="auto"/>
                <w:kern w:val="0"/>
                <w:sz w:val="21"/>
                <w:szCs w:val="21"/>
                <w:highlight w:val="none"/>
              </w:rPr>
            </w:pPr>
          </w:p>
        </w:tc>
      </w:tr>
    </w:tbl>
    <w:p w14:paraId="292462FE">
      <w:pPr>
        <w:numPr>
          <w:ilvl w:val="0"/>
          <w:numId w:val="3"/>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工艺流程图</w:t>
      </w:r>
    </w:p>
    <w:p w14:paraId="12D833FE">
      <w:pPr>
        <w:numPr>
          <w:ilvl w:val="255"/>
          <w:numId w:val="0"/>
        </w:num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医院污水处理工艺流程：污水从医院总排口接进—污水收集井｛通过提升泵｝—格栅池｛格碴｝—调节池｛调整pH值｝—混凝沉淀池｛沉淀大的悬浮物，颗粒污泥，投加PAC,PAM药剂｝—消毒池｛投加消毒药剂：次氯酸钠：通过次氯酸钠发生器反应，二氧化氯溶液等等｝—采样检测池｛检测污水的：余氯，pH值｝—排放口｛污水通过处理及检测后达到标准排放｝。</w:t>
      </w:r>
    </w:p>
    <w:p w14:paraId="0B4F5970">
      <w:pPr>
        <w:numPr>
          <w:ilvl w:val="0"/>
          <w:numId w:val="2"/>
        </w:numPr>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项目预算金额：</w:t>
      </w:r>
      <w:r>
        <w:rPr>
          <w:rFonts w:hint="eastAsia" w:ascii="宋体" w:hAnsi="宋体" w:eastAsia="宋体" w:cs="宋体"/>
          <w:b/>
          <w:bCs/>
          <w:color w:val="auto"/>
          <w:sz w:val="21"/>
          <w:szCs w:val="21"/>
          <w:highlight w:val="none"/>
          <w:lang w:val="en-US" w:eastAsia="zh-CN"/>
        </w:rPr>
        <w:t>19</w:t>
      </w:r>
      <w:r>
        <w:rPr>
          <w:rFonts w:hint="eastAsia" w:ascii="宋体" w:hAnsi="宋体" w:eastAsia="宋体" w:cs="宋体"/>
          <w:color w:val="auto"/>
          <w:sz w:val="21"/>
          <w:szCs w:val="21"/>
          <w:highlight w:val="none"/>
        </w:rPr>
        <w:t>万元/年。</w:t>
      </w:r>
    </w:p>
    <w:p w14:paraId="7E26E012">
      <w:pPr>
        <w:numPr>
          <w:ilvl w:val="255"/>
          <w:numId w:val="0"/>
        </w:numPr>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shd w:val="clear" w:color="auto" w:fill="FFFFFF"/>
        </w:rPr>
        <w:t>本项目服务费采用包干制，包干费用仅包含完成本项目约定服务内容所需的全部费用</w:t>
      </w:r>
      <w:r>
        <w:rPr>
          <w:rFonts w:hint="eastAsia" w:ascii="宋体" w:hAnsi="宋体" w:eastAsia="宋体" w:cs="宋体"/>
          <w:color w:val="auto"/>
          <w:sz w:val="21"/>
          <w:szCs w:val="21"/>
          <w:highlight w:val="none"/>
        </w:rPr>
        <w:t>，服务费包含污水处理站运维外包服务期间的全成本：含服务人员工资、保底处理量对应的药品、单价≤1000元的设备维修材料费等所有运营成本，以及法定税费和企业合理利润。由企业根据招标文件所提供的资料自行测算投标报价；一经中标，投标报价总价作为中标人与采购人签订的合同金额，在合同期限内不作调整。</w:t>
      </w:r>
    </w:p>
    <w:p w14:paraId="346F1032">
      <w:pPr>
        <w:numPr>
          <w:ilvl w:val="0"/>
          <w:numId w:val="2"/>
        </w:numPr>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投标人资质要求</w:t>
      </w:r>
    </w:p>
    <w:p w14:paraId="23CD192B">
      <w:pPr>
        <w:numPr>
          <w:ilvl w:val="0"/>
          <w:numId w:val="4"/>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投标人必须是具有独立法人资格</w:t>
      </w:r>
      <w:r>
        <w:rPr>
          <w:rFonts w:hint="eastAsia" w:ascii="宋体" w:hAnsi="宋体" w:eastAsia="宋体" w:cs="宋体"/>
          <w:color w:val="auto"/>
          <w:sz w:val="21"/>
          <w:szCs w:val="21"/>
          <w:highlight w:val="none"/>
        </w:rPr>
        <w:t>或为具有独立承担民事责任能力的分支机构及其它组织</w:t>
      </w:r>
      <w:r>
        <w:rPr>
          <w:rFonts w:hint="eastAsia" w:ascii="宋体" w:hAnsi="宋体" w:eastAsia="宋体" w:cs="宋体"/>
          <w:color w:val="auto"/>
          <w:sz w:val="21"/>
          <w:szCs w:val="21"/>
          <w:highlight w:val="none"/>
        </w:rPr>
        <w:t>（提供营业执照或事业单位法人证书或其他证明材料复印件并加盖公章，原件备查）；</w:t>
      </w:r>
    </w:p>
    <w:p w14:paraId="0E4B59A5">
      <w:pPr>
        <w:numPr>
          <w:ilvl w:val="0"/>
          <w:numId w:val="4"/>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参与本项目政府采购活动时不存在被有关部门禁止参与政府采购活动且在有效期内的情况（由供应商在《政府采购投标及履约承诺函》中作出声明，加盖公章）；</w:t>
      </w:r>
    </w:p>
    <w:p w14:paraId="7BBACC4E">
      <w:pPr>
        <w:numPr>
          <w:ilvl w:val="0"/>
          <w:numId w:val="4"/>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具备《中华人民共和国政府采购法》第二十二条第一款的条件（由供应商在《政府采购投标及履约承诺函》中作出声明，加盖公章）；</w:t>
      </w:r>
    </w:p>
    <w:p w14:paraId="483CC379">
      <w:pPr>
        <w:numPr>
          <w:ilvl w:val="0"/>
          <w:numId w:val="4"/>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被列入失信被执行人、重大税收违法失信主体、政府采购严重违法失信行为记录名单（由供应商在《政府采购投标及履约承诺函》中作出声明，加盖公章）；【注：采购代理机构将通过“信用中国”中“信用服务”栏的“重大税收违法失信主体”“失信被执行人”“中国政府采购网”中的“政府采购严重违法失信行为记录名单”“深圳信用网”以及“深圳市政府采购监管网”查询供应商的信用信息，相关信息以开标当日的查询结果为准。信用信息查询记录将作为项目档案材料一并保存】</w:t>
      </w:r>
    </w:p>
    <w:p w14:paraId="5E23CB9A">
      <w:pPr>
        <w:numPr>
          <w:ilvl w:val="0"/>
          <w:numId w:val="4"/>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不存在《深圳市财政局政府采购供应商信用信息管理办法》（深财规〔2023〕3 号）列明的严重违法失信行为（由供应商在《政府采购投标及履约承诺函》中作出声明）；</w:t>
      </w:r>
    </w:p>
    <w:p w14:paraId="1E46BA33">
      <w:pPr>
        <w:numPr>
          <w:ilvl w:val="0"/>
          <w:numId w:val="4"/>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为本项目提供整体设计、规范编制或者项目管理、监理、检测等服务的供应商，不得参加本项目投标。（由供应商在《政府采购投标及履约承诺函》中作出声明，加盖公章）；</w:t>
      </w:r>
    </w:p>
    <w:p w14:paraId="1A61F58B">
      <w:pPr>
        <w:numPr>
          <w:ilvl w:val="0"/>
          <w:numId w:val="4"/>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本项目不接受联合体投标，不接受投标人选用进口产品/服务参与投标，不允许转包分包（由供应商在《政府采购投标及履约承诺函》中作出声明，加盖公章）；</w:t>
      </w:r>
    </w:p>
    <w:p w14:paraId="3B15A61F">
      <w:pPr>
        <w:numPr>
          <w:ilvl w:val="0"/>
          <w:numId w:val="4"/>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本项目是否专门面向中小企业采购：否（由供应商在《中小企业声明函（服务）》或《残疾人福利性单位声明函》或《监狱企业声明函》中作出声明）；</w:t>
      </w:r>
    </w:p>
    <w:p w14:paraId="4892B7D2">
      <w:pPr>
        <w:numPr>
          <w:ilvl w:val="0"/>
          <w:numId w:val="4"/>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如发现不同投标供应商的相关信息存在上述“不得”的情形，作投标无效处理）；</w:t>
      </w:r>
    </w:p>
    <w:p w14:paraId="3FA2D4D9">
      <w:pPr>
        <w:numPr>
          <w:ilvl w:val="0"/>
          <w:numId w:val="2"/>
        </w:num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评审方法：综合评分法</w:t>
      </w:r>
    </w:p>
    <w:p w14:paraId="112E9568">
      <w:pPr>
        <w:pStyle w:val="2"/>
        <w:rPr>
          <w:rFonts w:hint="eastAsia" w:ascii="宋体" w:hAnsi="宋体" w:eastAsia="宋体" w:cs="宋体"/>
          <w:color w:val="auto"/>
          <w:sz w:val="21"/>
          <w:szCs w:val="21"/>
          <w:highlight w:val="none"/>
        </w:rPr>
      </w:pPr>
      <w:bookmarkStart w:id="0" w:name="_Toc15886"/>
      <w:bookmarkStart w:id="1" w:name="_Toc24015565"/>
      <w:r>
        <w:rPr>
          <w:rFonts w:hint="eastAsia" w:ascii="宋体" w:hAnsi="宋体" w:eastAsia="宋体" w:cs="宋体"/>
          <w:color w:val="auto"/>
          <w:sz w:val="21"/>
          <w:szCs w:val="21"/>
          <w:highlight w:val="none"/>
        </w:rPr>
        <w:t>综合评分表</w:t>
      </w:r>
      <w:bookmarkEnd w:id="0"/>
      <w:bookmarkEnd w:id="1"/>
    </w:p>
    <w:tbl>
      <w:tblPr>
        <w:tblStyle w:val="5"/>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00"/>
        <w:gridCol w:w="1227"/>
        <w:gridCol w:w="5213"/>
        <w:gridCol w:w="823"/>
        <w:gridCol w:w="659"/>
      </w:tblGrid>
      <w:tr w14:paraId="381929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vAlign w:val="center"/>
          </w:tcPr>
          <w:p w14:paraId="484945A2">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评审部分</w:t>
            </w:r>
          </w:p>
        </w:tc>
        <w:tc>
          <w:tcPr>
            <w:tcW w:w="720" w:type="pct"/>
            <w:vAlign w:val="center"/>
          </w:tcPr>
          <w:p w14:paraId="607DA3AF">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评审因素</w:t>
            </w:r>
          </w:p>
        </w:tc>
        <w:tc>
          <w:tcPr>
            <w:tcW w:w="3059" w:type="pct"/>
            <w:vAlign w:val="center"/>
          </w:tcPr>
          <w:p w14:paraId="34DD84FE">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评分细则</w:t>
            </w:r>
          </w:p>
        </w:tc>
        <w:tc>
          <w:tcPr>
            <w:tcW w:w="483" w:type="pct"/>
            <w:tcBorders>
              <w:right w:val="single" w:color="auto" w:sz="4" w:space="0"/>
            </w:tcBorders>
            <w:vAlign w:val="center"/>
          </w:tcPr>
          <w:p w14:paraId="0DDC892F">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权重</w:t>
            </w:r>
          </w:p>
        </w:tc>
        <w:tc>
          <w:tcPr>
            <w:tcW w:w="387" w:type="pct"/>
            <w:tcBorders>
              <w:left w:val="single" w:color="auto" w:sz="4" w:space="0"/>
            </w:tcBorders>
            <w:vAlign w:val="center"/>
          </w:tcPr>
          <w:p w14:paraId="3A327398">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r>
      <w:tr w14:paraId="367037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1" w:hRule="atLeast"/>
        </w:trPr>
        <w:tc>
          <w:tcPr>
            <w:tcW w:w="351" w:type="pct"/>
            <w:vAlign w:val="center"/>
          </w:tcPr>
          <w:p w14:paraId="2CF188AE">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w:t>
            </w:r>
          </w:p>
        </w:tc>
        <w:tc>
          <w:tcPr>
            <w:tcW w:w="4649" w:type="pct"/>
            <w:gridSpan w:val="4"/>
            <w:vAlign w:val="center"/>
          </w:tcPr>
          <w:p w14:paraId="56DB00B0">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技术部分（45分）</w:t>
            </w:r>
          </w:p>
        </w:tc>
      </w:tr>
      <w:tr w14:paraId="433B5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tcBorders>
              <w:bottom w:val="single" w:color="auto" w:sz="4" w:space="0"/>
            </w:tcBorders>
            <w:vAlign w:val="center"/>
          </w:tcPr>
          <w:p w14:paraId="0E101634">
            <w:pPr>
              <w:pStyle w:val="7"/>
              <w:numPr>
                <w:ilvl w:val="0"/>
                <w:numId w:val="5"/>
              </w:numPr>
              <w:ind w:firstLineChars="0"/>
              <w:jc w:val="right"/>
              <w:rPr>
                <w:rFonts w:hint="eastAsia" w:ascii="宋体" w:hAnsi="宋体" w:eastAsia="宋体" w:cs="宋体"/>
                <w:color w:val="auto"/>
                <w:sz w:val="21"/>
                <w:szCs w:val="21"/>
                <w:highlight w:val="none"/>
              </w:rPr>
            </w:pPr>
          </w:p>
        </w:tc>
        <w:tc>
          <w:tcPr>
            <w:tcW w:w="720" w:type="pct"/>
            <w:shd w:val="clear" w:color="auto" w:fill="auto"/>
            <w:vAlign w:val="center"/>
          </w:tcPr>
          <w:p w14:paraId="1807236B">
            <w:pPr>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技术要求偏离情况</w:t>
            </w:r>
          </w:p>
        </w:tc>
        <w:tc>
          <w:tcPr>
            <w:tcW w:w="3059" w:type="pct"/>
            <w:shd w:val="clear" w:color="auto" w:fill="auto"/>
            <w:vAlign w:val="center"/>
          </w:tcPr>
          <w:p w14:paraId="2147C667">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（一）评分内容：</w:t>
            </w:r>
          </w:p>
          <w:p w14:paraId="40A237A7">
            <w:pP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投标人应根据项目采购标的中如实填写《</w:t>
            </w:r>
            <w:r>
              <w:rPr>
                <w:rFonts w:hint="eastAsia" w:ascii="宋体" w:hAnsi="宋体" w:eastAsia="宋体" w:cs="宋体"/>
                <w:color w:val="auto"/>
                <w:sz w:val="21"/>
                <w:szCs w:val="21"/>
                <w:highlight w:val="none"/>
              </w:rPr>
              <w:t>技术规格偏离表</w:t>
            </w:r>
            <w:r>
              <w:rPr>
                <w:rFonts w:hint="eastAsia" w:ascii="宋体" w:hAnsi="宋体" w:eastAsia="宋体" w:cs="宋体"/>
                <w:color w:val="auto"/>
                <w:kern w:val="0"/>
                <w:sz w:val="21"/>
                <w:szCs w:val="21"/>
                <w:highlight w:val="none"/>
              </w:rPr>
              <w:t>》，评审委员会根据“</w:t>
            </w:r>
            <w:r>
              <w:rPr>
                <w:rFonts w:hint="eastAsia" w:ascii="宋体" w:hAnsi="宋体" w:eastAsia="宋体" w:cs="宋体"/>
                <w:b/>
                <w:bCs/>
                <w:color w:val="auto"/>
                <w:sz w:val="21"/>
                <w:szCs w:val="21"/>
                <w:highlight w:val="none"/>
              </w:rPr>
              <w:t>项目服务及技术要求、商务要求</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响应情况进行打分，各项技术参数指标及要求全部满足的得45分，</w:t>
            </w:r>
            <w:r>
              <w:rPr>
                <w:rFonts w:hint="eastAsia" w:ascii="宋体" w:hAnsi="宋体" w:eastAsia="宋体" w:cs="宋体"/>
                <w:color w:val="auto"/>
                <w:sz w:val="21"/>
                <w:szCs w:val="21"/>
                <w:highlight w:val="none"/>
              </w:rPr>
              <w:t>每负偏离一项扣2分，最低0分。</w:t>
            </w:r>
          </w:p>
          <w:p w14:paraId="45F0D7A2">
            <w:pPr>
              <w:pStyle w:val="3"/>
              <w:ind w:firstLine="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（二）评分依据：</w:t>
            </w:r>
          </w:p>
          <w:p w14:paraId="1B74621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技术参数要求提供相关证明文件，未提供或提供的证明文件不符合要求的均视为负偏离。对于《技术规格偏离表》中投标技术响应与偏离情况填写不一致的，评委会可按负偏离处理。未要求证明文件的，以响应情况为准。</w:t>
            </w:r>
          </w:p>
        </w:tc>
        <w:tc>
          <w:tcPr>
            <w:tcW w:w="483" w:type="pct"/>
            <w:tcBorders>
              <w:right w:val="single" w:color="auto" w:sz="4" w:space="0"/>
            </w:tcBorders>
            <w:shd w:val="clear" w:color="auto" w:fill="auto"/>
            <w:vAlign w:val="center"/>
          </w:tcPr>
          <w:p w14:paraId="74DF122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c>
          <w:tcPr>
            <w:tcW w:w="387" w:type="pct"/>
            <w:tcBorders>
              <w:left w:val="single" w:color="auto" w:sz="4" w:space="0"/>
            </w:tcBorders>
            <w:shd w:val="clear" w:color="auto" w:fill="auto"/>
            <w:vAlign w:val="center"/>
          </w:tcPr>
          <w:p w14:paraId="03265DCD">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45分</w:t>
            </w:r>
          </w:p>
        </w:tc>
      </w:tr>
      <w:tr w14:paraId="0649B0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7" w:hRule="atLeast"/>
        </w:trPr>
        <w:tc>
          <w:tcPr>
            <w:tcW w:w="351" w:type="pct"/>
            <w:tcBorders>
              <w:top w:val="single" w:color="auto" w:sz="4" w:space="0"/>
            </w:tcBorders>
            <w:vAlign w:val="center"/>
          </w:tcPr>
          <w:p w14:paraId="7E045427">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w:t>
            </w:r>
          </w:p>
        </w:tc>
        <w:tc>
          <w:tcPr>
            <w:tcW w:w="4649" w:type="pct"/>
            <w:gridSpan w:val="4"/>
            <w:vAlign w:val="center"/>
          </w:tcPr>
          <w:p w14:paraId="38F89FCB">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商务部分（25分）</w:t>
            </w:r>
          </w:p>
        </w:tc>
      </w:tr>
      <w:tr w14:paraId="32C56B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tcBorders>
              <w:top w:val="single" w:color="auto" w:sz="4" w:space="0"/>
              <w:bottom w:val="single" w:color="auto" w:sz="4" w:space="0"/>
            </w:tcBorders>
            <w:vAlign w:val="center"/>
          </w:tcPr>
          <w:p w14:paraId="3FA51D89">
            <w:pPr>
              <w:pStyle w:val="7"/>
              <w:numPr>
                <w:ilvl w:val="0"/>
                <w:numId w:val="6"/>
              </w:numPr>
              <w:ind w:firstLineChars="0"/>
              <w:jc w:val="center"/>
              <w:rPr>
                <w:rFonts w:hint="eastAsia" w:ascii="宋体" w:hAnsi="宋体" w:eastAsia="宋体" w:cs="宋体"/>
                <w:color w:val="auto"/>
                <w:sz w:val="21"/>
                <w:szCs w:val="21"/>
                <w:highlight w:val="none"/>
              </w:rPr>
            </w:pPr>
          </w:p>
        </w:tc>
        <w:tc>
          <w:tcPr>
            <w:tcW w:w="720" w:type="pct"/>
            <w:shd w:val="clear" w:color="auto" w:fill="auto"/>
            <w:vAlign w:val="center"/>
          </w:tcPr>
          <w:p w14:paraId="4E4E18D0">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项目实施方案</w:t>
            </w:r>
          </w:p>
        </w:tc>
        <w:tc>
          <w:tcPr>
            <w:tcW w:w="3059" w:type="pct"/>
            <w:shd w:val="clear" w:color="auto" w:fill="auto"/>
          </w:tcPr>
          <w:p w14:paraId="1C0FDAD4">
            <w:pPr>
              <w:numPr>
                <w:ilvl w:val="0"/>
                <w:numId w:val="7"/>
              </w:numPr>
              <w:wordWrap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评分内容：</w:t>
            </w:r>
          </w:p>
          <w:p w14:paraId="5737FB51">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投标人针对本项目提供的项目实施方案，包括但不限于以下内容： </w:t>
            </w:r>
          </w:p>
          <w:p w14:paraId="528FA2F3">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1.运营服务方案</w:t>
            </w:r>
          </w:p>
          <w:p w14:paraId="537AA8E4">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2.运营维修、保养制度</w:t>
            </w:r>
          </w:p>
          <w:p w14:paraId="644A9064">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3.现场管理措施</w:t>
            </w:r>
          </w:p>
          <w:p w14:paraId="45BCE6B9">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4.项目人员配置</w:t>
            </w:r>
          </w:p>
          <w:p w14:paraId="7EA7A8E0">
            <w:pPr>
              <w:numPr>
                <w:ilvl w:val="0"/>
                <w:numId w:val="7"/>
              </w:numPr>
              <w:wordWrap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评分依据： </w:t>
            </w:r>
          </w:p>
          <w:p w14:paraId="7ED87E05">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1.以上内容，每提供一点得2.5分，最高得10分。 </w:t>
            </w:r>
          </w:p>
          <w:p w14:paraId="26FA2A88">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2.在此基础上，专家根据各供应商的具体响应内容按照量化的评审因素指标进一步评审： </w:t>
            </w:r>
          </w:p>
          <w:p w14:paraId="0C7FA4DF">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（1）投标文件响应内容全面； </w:t>
            </w:r>
          </w:p>
          <w:p w14:paraId="14F79A10">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（2）投标文件响应内容具体； </w:t>
            </w:r>
          </w:p>
          <w:p w14:paraId="5BEBE94E">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（3）投标文件响应内容针对性强； </w:t>
            </w:r>
          </w:p>
          <w:p w14:paraId="58E9C3C1">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（4）投标文件响应内容科学合理； </w:t>
            </w:r>
          </w:p>
          <w:p w14:paraId="366F8F16">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（5）投标文件响应内容可操作性强。 </w:t>
            </w:r>
          </w:p>
          <w:p w14:paraId="616B22E2">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满足以上五项要求的评价为优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加10分； 满足以上四项要求的评价为良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加6分； 满足以上三项要求的评价为中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加3分； 其他情况评价为差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不加分。</w:t>
            </w:r>
          </w:p>
        </w:tc>
        <w:tc>
          <w:tcPr>
            <w:tcW w:w="483" w:type="pct"/>
            <w:tcBorders>
              <w:right w:val="single" w:color="auto" w:sz="4" w:space="0"/>
            </w:tcBorders>
            <w:shd w:val="clear" w:color="auto" w:fill="auto"/>
            <w:vAlign w:val="center"/>
          </w:tcPr>
          <w:p w14:paraId="3256E773">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w:t>
            </w:r>
            <w:r>
              <w:rPr>
                <w:rFonts w:hint="eastAsia" w:ascii="宋体" w:hAnsi="宋体" w:eastAsia="宋体" w:cs="宋体"/>
                <w:color w:val="auto"/>
                <w:sz w:val="21"/>
                <w:szCs w:val="21"/>
                <w:highlight w:val="none"/>
              </w:rPr>
              <w:t>%</w:t>
            </w:r>
          </w:p>
        </w:tc>
        <w:tc>
          <w:tcPr>
            <w:tcW w:w="387" w:type="pct"/>
            <w:tcBorders>
              <w:left w:val="single" w:color="auto" w:sz="4" w:space="0"/>
            </w:tcBorders>
            <w:shd w:val="clear" w:color="auto" w:fill="auto"/>
            <w:vAlign w:val="center"/>
          </w:tcPr>
          <w:p w14:paraId="5E8CECEE">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w:t>
            </w:r>
            <w:r>
              <w:rPr>
                <w:rFonts w:hint="eastAsia" w:ascii="宋体" w:hAnsi="宋体" w:eastAsia="宋体" w:cs="宋体"/>
                <w:color w:val="auto"/>
                <w:sz w:val="21"/>
                <w:szCs w:val="21"/>
                <w:highlight w:val="none"/>
              </w:rPr>
              <w:t>分</w:t>
            </w:r>
          </w:p>
        </w:tc>
      </w:tr>
      <w:tr w14:paraId="16DE89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tcBorders>
              <w:top w:val="single" w:color="auto" w:sz="4" w:space="0"/>
              <w:bottom w:val="single" w:color="auto" w:sz="4" w:space="0"/>
            </w:tcBorders>
            <w:vAlign w:val="center"/>
          </w:tcPr>
          <w:p w14:paraId="3413CBC2">
            <w:pPr>
              <w:pStyle w:val="7"/>
              <w:numPr>
                <w:ilvl w:val="0"/>
                <w:numId w:val="6"/>
              </w:numPr>
              <w:ind w:firstLineChars="0"/>
              <w:jc w:val="center"/>
              <w:rPr>
                <w:rFonts w:hint="eastAsia" w:ascii="宋体" w:hAnsi="宋体" w:eastAsia="宋体" w:cs="宋体"/>
                <w:color w:val="auto"/>
                <w:sz w:val="21"/>
                <w:szCs w:val="21"/>
                <w:highlight w:val="none"/>
              </w:rPr>
            </w:pPr>
          </w:p>
        </w:tc>
        <w:tc>
          <w:tcPr>
            <w:tcW w:w="720" w:type="pct"/>
            <w:shd w:val="clear" w:color="auto" w:fill="auto"/>
            <w:vAlign w:val="center"/>
          </w:tcPr>
          <w:p w14:paraId="767CA6E4">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管理体系认证</w:t>
            </w:r>
          </w:p>
        </w:tc>
        <w:tc>
          <w:tcPr>
            <w:tcW w:w="3059" w:type="pct"/>
            <w:shd w:val="clear" w:color="auto" w:fill="auto"/>
          </w:tcPr>
          <w:p w14:paraId="4F832E68">
            <w:pPr>
              <w:widowControl/>
              <w:shd w:val="clear" w:color="auto" w:fill="FFFFFF"/>
              <w:jc w:val="left"/>
              <w:textAlignment w:val="baseline"/>
              <w:rPr>
                <w:rFonts w:hint="eastAsia" w:ascii="宋体" w:hAnsi="宋体" w:eastAsia="宋体" w:cs="宋体"/>
                <w:color w:val="auto"/>
                <w:spacing w:val="0"/>
                <w:kern w:val="2"/>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pacing w:val="0"/>
                <w:kern w:val="2"/>
                <w:sz w:val="21"/>
                <w:szCs w:val="21"/>
                <w:highlight w:val="none"/>
              </w:rPr>
              <w:t>评审内容：投标人具有与本项目运营服务及履约管理相关的有效管理体系认证证书。</w:t>
            </w:r>
          </w:p>
          <w:p w14:paraId="76982491">
            <w:pPr>
              <w:widowControl/>
              <w:shd w:val="clear" w:color="auto" w:fill="FFFFFF"/>
              <w:jc w:val="left"/>
              <w:textAlignment w:val="baseline"/>
              <w:rPr>
                <w:rFonts w:hint="eastAsia" w:ascii="宋体" w:hAnsi="宋体" w:eastAsia="宋体" w:cs="宋体"/>
                <w:color w:val="auto"/>
                <w:spacing w:val="0"/>
                <w:kern w:val="2"/>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0"/>
                <w:kern w:val="2"/>
                <w:sz w:val="21"/>
                <w:szCs w:val="21"/>
                <w:highlight w:val="none"/>
              </w:rPr>
              <w:t>评分标准：</w:t>
            </w:r>
          </w:p>
          <w:p w14:paraId="509F8BED">
            <w:pPr>
              <w:widowControl/>
              <w:shd w:val="clear" w:color="auto" w:fill="FFFFFF"/>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t>1）</w:t>
            </w:r>
            <w:r>
              <w:rPr>
                <w:rFonts w:hint="eastAsia" w:ascii="宋体" w:hAnsi="宋体" w:eastAsia="宋体" w:cs="宋体"/>
                <w:color w:val="auto"/>
                <w:spacing w:val="0"/>
                <w:kern w:val="2"/>
                <w:sz w:val="21"/>
                <w:szCs w:val="21"/>
                <w:highlight w:val="none"/>
              </w:rPr>
              <w:t>具有有效的质量管理体系认证证书，得</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rPr>
              <w:t>.5</w:t>
            </w:r>
            <w:r>
              <w:rPr>
                <w:rFonts w:hint="eastAsia" w:ascii="宋体" w:hAnsi="宋体" w:eastAsia="宋体" w:cs="宋体"/>
                <w:color w:val="auto"/>
                <w:spacing w:val="0"/>
                <w:kern w:val="2"/>
                <w:sz w:val="21"/>
                <w:szCs w:val="21"/>
                <w:highlight w:val="none"/>
              </w:rPr>
              <w:t>分；</w:t>
            </w:r>
          </w:p>
          <w:p w14:paraId="54EFFAB3">
            <w:pPr>
              <w:widowControl/>
              <w:shd w:val="clear" w:color="auto" w:fill="FFFFFF"/>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t>2）</w:t>
            </w:r>
            <w:r>
              <w:rPr>
                <w:rFonts w:hint="eastAsia" w:ascii="宋体" w:hAnsi="宋体" w:eastAsia="宋体" w:cs="宋体"/>
                <w:color w:val="auto"/>
                <w:spacing w:val="0"/>
                <w:kern w:val="2"/>
                <w:sz w:val="21"/>
                <w:szCs w:val="21"/>
                <w:highlight w:val="none"/>
              </w:rPr>
              <w:t>具有有效的环境管理体系认证证书，得</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rPr>
              <w:t>.5</w:t>
            </w:r>
            <w:r>
              <w:rPr>
                <w:rFonts w:hint="eastAsia" w:ascii="宋体" w:hAnsi="宋体" w:eastAsia="宋体" w:cs="宋体"/>
                <w:color w:val="auto"/>
                <w:spacing w:val="0"/>
                <w:kern w:val="2"/>
                <w:sz w:val="21"/>
                <w:szCs w:val="21"/>
                <w:highlight w:val="none"/>
              </w:rPr>
              <w:t>分；</w:t>
            </w:r>
          </w:p>
          <w:p w14:paraId="5D55CDD1">
            <w:pPr>
              <w:widowControl/>
              <w:numPr>
                <w:ilvl w:val="0"/>
                <w:numId w:val="0"/>
              </w:numPr>
              <w:shd w:val="clear" w:color="auto" w:fill="FFFFFF"/>
              <w:ind w:left="0" w:firstLine="0"/>
              <w:jc w:val="left"/>
              <w:textAlignment w:val="baseline"/>
              <w:rPr>
                <w:rFonts w:hint="eastAsia" w:ascii="宋体" w:hAnsi="宋体" w:eastAsia="宋体" w:cs="宋体"/>
                <w:color w:val="auto"/>
                <w:spacing w:val="0"/>
                <w:kern w:val="2"/>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t>3）</w:t>
            </w:r>
            <w:r>
              <w:rPr>
                <w:rFonts w:hint="eastAsia" w:ascii="宋体" w:hAnsi="宋体" w:eastAsia="宋体" w:cs="宋体"/>
                <w:color w:val="auto"/>
                <w:spacing w:val="0"/>
                <w:kern w:val="2"/>
                <w:sz w:val="21"/>
                <w:szCs w:val="21"/>
                <w:highlight w:val="none"/>
              </w:rPr>
              <w:t>具有有效的职业健康安全管理体系认证证书，得</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rPr>
              <w:t>.5</w:t>
            </w:r>
            <w:r>
              <w:rPr>
                <w:rFonts w:hint="eastAsia" w:ascii="宋体" w:hAnsi="宋体" w:eastAsia="宋体" w:cs="宋体"/>
                <w:color w:val="auto"/>
                <w:spacing w:val="0"/>
                <w:kern w:val="2"/>
                <w:sz w:val="21"/>
                <w:szCs w:val="21"/>
                <w:highlight w:val="none"/>
              </w:rPr>
              <w:t>分。</w:t>
            </w:r>
          </w:p>
          <w:p w14:paraId="271B7BBB">
            <w:pPr>
              <w:widowControl/>
              <w:numPr>
                <w:ilvl w:val="0"/>
                <w:numId w:val="0"/>
              </w:numPr>
              <w:shd w:val="clear" w:color="auto" w:fill="FFFFFF"/>
              <w:wordWrap/>
              <w:jc w:val="left"/>
              <w:textAlignment w:val="baseline"/>
              <w:rPr>
                <w:rFonts w:hint="eastAsia" w:ascii="宋体" w:hAnsi="宋体" w:eastAsia="宋体" w:cs="宋体"/>
                <w:b w:val="0"/>
                <w:bCs w:val="0"/>
                <w:color w:val="auto"/>
                <w:sz w:val="21"/>
                <w:szCs w:val="21"/>
                <w:highlight w:val="none"/>
              </w:rPr>
            </w:pPr>
            <w:r>
              <w:rPr>
                <w:rFonts w:hint="eastAsia" w:ascii="宋体" w:hAnsi="宋体" w:eastAsia="宋体" w:cs="宋体"/>
                <w:color w:val="auto"/>
                <w:spacing w:val="0"/>
                <w:kern w:val="2"/>
                <w:sz w:val="21"/>
                <w:szCs w:val="21"/>
                <w:highlight w:val="none"/>
              </w:rPr>
              <w:t>本项最高得</w:t>
            </w:r>
            <w:r>
              <w:rPr>
                <w:rFonts w:hint="eastAsia" w:ascii="宋体" w:hAnsi="宋体" w:eastAsia="宋体" w:cs="宋体"/>
                <w:color w:val="auto"/>
                <w:sz w:val="21"/>
                <w:szCs w:val="21"/>
                <w:highlight w:val="none"/>
              </w:rPr>
              <w:t>7.5</w:t>
            </w:r>
            <w:r>
              <w:rPr>
                <w:rFonts w:hint="eastAsia" w:ascii="宋体" w:hAnsi="宋体" w:eastAsia="宋体" w:cs="宋体"/>
                <w:color w:val="auto"/>
                <w:spacing w:val="0"/>
                <w:kern w:val="2"/>
                <w:sz w:val="21"/>
                <w:szCs w:val="21"/>
                <w:highlight w:val="none"/>
              </w:rPr>
              <w:t>分，同一体系不重复计分。投标人须提供有效证书扫描件；证书应可在国家认证认可监督管理委员会相关平台查询。证书持有人须为投标人，证书在评审时处于有效状态；未提供、证书无效、认证范围与本项目服务无关或无法核验的，不得分。</w:t>
            </w:r>
          </w:p>
        </w:tc>
        <w:tc>
          <w:tcPr>
            <w:tcW w:w="483" w:type="pct"/>
            <w:tcBorders>
              <w:right w:val="single" w:color="auto" w:sz="4" w:space="0"/>
            </w:tcBorders>
            <w:shd w:val="clear" w:color="auto" w:fill="auto"/>
            <w:vAlign w:val="center"/>
          </w:tcPr>
          <w:p w14:paraId="646674FF">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w:t>
            </w:r>
          </w:p>
        </w:tc>
        <w:tc>
          <w:tcPr>
            <w:tcW w:w="387" w:type="pct"/>
            <w:tcBorders>
              <w:left w:val="single" w:color="auto" w:sz="4" w:space="0"/>
            </w:tcBorders>
            <w:shd w:val="clear" w:color="auto" w:fill="auto"/>
            <w:vAlign w:val="center"/>
          </w:tcPr>
          <w:p w14:paraId="49A34017">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w:t>
            </w:r>
            <w:r>
              <w:rPr>
                <w:rFonts w:hint="eastAsia" w:ascii="宋体" w:hAnsi="宋体" w:eastAsia="宋体" w:cs="宋体"/>
                <w:color w:val="auto"/>
                <w:sz w:val="21"/>
                <w:szCs w:val="21"/>
                <w:highlight w:val="none"/>
              </w:rPr>
              <w:t>分</w:t>
            </w:r>
          </w:p>
        </w:tc>
      </w:tr>
      <w:tr w14:paraId="63430E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tcBorders>
              <w:top w:val="single" w:color="auto" w:sz="4" w:space="0"/>
            </w:tcBorders>
            <w:vAlign w:val="center"/>
          </w:tcPr>
          <w:p w14:paraId="6C3717B6">
            <w:pPr>
              <w:pStyle w:val="7"/>
              <w:numPr>
                <w:ilvl w:val="0"/>
                <w:numId w:val="6"/>
              </w:numPr>
              <w:ind w:firstLineChars="0"/>
              <w:jc w:val="center"/>
              <w:rPr>
                <w:rFonts w:hint="eastAsia" w:ascii="宋体" w:hAnsi="宋体" w:eastAsia="宋体" w:cs="宋体"/>
                <w:color w:val="auto"/>
                <w:sz w:val="21"/>
                <w:szCs w:val="21"/>
                <w:highlight w:val="none"/>
              </w:rPr>
            </w:pPr>
          </w:p>
        </w:tc>
        <w:tc>
          <w:tcPr>
            <w:tcW w:w="720" w:type="pct"/>
            <w:vAlign w:val="center"/>
          </w:tcPr>
          <w:p w14:paraId="67FDD077">
            <w:pPr>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诚信</w:t>
            </w:r>
          </w:p>
        </w:tc>
        <w:tc>
          <w:tcPr>
            <w:tcW w:w="3059" w:type="pct"/>
            <w:vAlign w:val="center"/>
          </w:tcPr>
          <w:p w14:paraId="145AA119">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存在《深圳市财政局政府采购供应商信用信息管理办法》（深财规〔2023〕3号）列明的一般行政处罚信息、一般违法失信记录信息的，本项不得分，不存在上述情形的本项得5分。投标人无需提供任何证明材料，评标过程中由工作人员向评审委员会提供有关供应商诚信查询结果。</w:t>
            </w:r>
          </w:p>
          <w:p w14:paraId="353A4A03">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查询渠道：通过“信用中国”（www.creditchina.gov.cn，下载信用信息报告）、“中国政府采购网”（www.ccgp.gov.cn）</w:t>
            </w:r>
            <w:r>
              <w:rPr>
                <w:rFonts w:hint="eastAsia" w:ascii="宋体" w:hAnsi="宋体" w:eastAsia="宋体" w:cs="宋体"/>
                <w:color w:val="auto"/>
                <w:sz w:val="21"/>
                <w:szCs w:val="21"/>
                <w:highlight w:val="none"/>
                <w:lang w:eastAsia="zh-CN"/>
              </w:rPr>
              <w:t>，以及</w:t>
            </w:r>
            <w:r>
              <w:rPr>
                <w:rFonts w:hint="eastAsia" w:ascii="宋体" w:hAnsi="宋体" w:eastAsia="宋体" w:cs="宋体"/>
                <w:color w:val="auto"/>
                <w:sz w:val="21"/>
                <w:szCs w:val="21"/>
                <w:highlight w:val="none"/>
              </w:rPr>
              <w:t>“深圳市政府采购监管网”（http://zfcg.sz.gov.cn）查询供应商信用信息，信用信息以开标当日的查询结果为准。</w:t>
            </w:r>
          </w:p>
        </w:tc>
        <w:tc>
          <w:tcPr>
            <w:tcW w:w="483" w:type="pct"/>
            <w:tcBorders>
              <w:right w:val="single" w:color="auto" w:sz="4" w:space="0"/>
            </w:tcBorders>
            <w:vAlign w:val="center"/>
          </w:tcPr>
          <w:p w14:paraId="16D97C39">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87" w:type="pct"/>
            <w:tcBorders>
              <w:left w:val="single" w:color="auto" w:sz="4" w:space="0"/>
            </w:tcBorders>
            <w:vAlign w:val="center"/>
          </w:tcPr>
          <w:p w14:paraId="7FE0D461">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5分</w:t>
            </w:r>
          </w:p>
        </w:tc>
      </w:tr>
      <w:tr w14:paraId="27CE4F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7" w:hRule="atLeast"/>
        </w:trPr>
        <w:tc>
          <w:tcPr>
            <w:tcW w:w="351" w:type="pct"/>
            <w:tcBorders>
              <w:top w:val="single" w:color="auto" w:sz="4" w:space="0"/>
            </w:tcBorders>
            <w:vAlign w:val="center"/>
          </w:tcPr>
          <w:p w14:paraId="29A450B8">
            <w:pPr>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w:t>
            </w:r>
          </w:p>
        </w:tc>
        <w:tc>
          <w:tcPr>
            <w:tcW w:w="4649" w:type="pct"/>
            <w:gridSpan w:val="4"/>
            <w:vAlign w:val="center"/>
          </w:tcPr>
          <w:p w14:paraId="7D3FE844">
            <w:pPr>
              <w:ind w:left="-78" w:leftChars="-37" w:right="-73" w:rightChars="-35"/>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价格部分（30分）</w:t>
            </w:r>
          </w:p>
        </w:tc>
      </w:tr>
      <w:tr w14:paraId="7418CC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351" w:type="pct"/>
            <w:vAlign w:val="center"/>
          </w:tcPr>
          <w:p w14:paraId="425DE3F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20" w:type="pct"/>
            <w:vAlign w:val="center"/>
          </w:tcPr>
          <w:p w14:paraId="0667ADF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3059" w:type="pct"/>
            <w:vAlign w:val="center"/>
          </w:tcPr>
          <w:p w14:paraId="44BA8E64">
            <w:pPr>
              <w:autoSpaceDE w:val="0"/>
              <w:autoSpaceDN w:val="0"/>
              <w:adjustRightInd w:val="0"/>
              <w:snapToGrid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价格分应当采用低价优先法计算，即满足招标文件要求且投标价格最低的投标报价为评标基准价，其价格分为满分。其他投标人的价格分统一按照下列公式计算：</w:t>
            </w:r>
          </w:p>
          <w:p w14:paraId="21B2B6F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投标报价得分=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评标基准价／投标报价</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×100×权重</w:t>
            </w:r>
          </w:p>
          <w:p w14:paraId="0B6DEF0F">
            <w:pPr>
              <w:widowControl/>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p w14:paraId="58616E80">
            <w:pPr>
              <w:widowControl/>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1.</w:t>
            </w:r>
            <w:r>
              <w:rPr>
                <w:rFonts w:hint="eastAsia" w:ascii="宋体" w:hAnsi="宋体" w:eastAsia="宋体" w:cs="宋体"/>
                <w:bCs/>
                <w:color w:val="auto"/>
                <w:sz w:val="21"/>
                <w:szCs w:val="21"/>
                <w:highlight w:val="none"/>
              </w:rPr>
              <w:t>投标报价得分四舍五入后，</w:t>
            </w:r>
            <w:r>
              <w:rPr>
                <w:rFonts w:hint="eastAsia" w:ascii="宋体" w:hAnsi="宋体" w:eastAsia="宋体" w:cs="宋体"/>
                <w:color w:val="auto"/>
                <w:sz w:val="21"/>
                <w:szCs w:val="21"/>
                <w:highlight w:val="none"/>
              </w:rPr>
              <w:t>小数点后保留两位有效数</w:t>
            </w:r>
            <w:r>
              <w:rPr>
                <w:rFonts w:hint="eastAsia" w:ascii="宋体" w:hAnsi="宋体" w:eastAsia="宋体" w:cs="宋体"/>
                <w:bCs/>
                <w:color w:val="auto"/>
                <w:sz w:val="21"/>
                <w:szCs w:val="21"/>
                <w:highlight w:val="none"/>
              </w:rPr>
              <w:t>。</w:t>
            </w:r>
          </w:p>
          <w:p w14:paraId="614662CB">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因落实政府采购政策进行价格调整的，以调整后的价格计算评标基准价和投标报价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详见《价格扣除》。</w:t>
            </w:r>
          </w:p>
          <w:p w14:paraId="4F5F41E9">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评审中出现下列情形之一的，供应商应当在评审现场合理的时间内作出书面说明并提供成本构成资料，对投标（响应）价格作出解释，书面说明、成本构成资料主要是项目具体成本测算等与报价合理性相关的说明、材料，如果投标（响应）供应商不提供书面说明及成本构成，或者提供的书面说明及成本构成不能证明其报价合理性的，应当将其作为无效投标（响应）处理：</w:t>
            </w:r>
          </w:p>
          <w:p w14:paraId="7C7EFE97">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3.1、投标（响应）报价低于全部通过符合性审查供应商投标（响应）报价平均值50%的，即投标（响应）报价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全部通过符合性审查供应商投标（响应）报价平均值×50%；</w:t>
            </w:r>
          </w:p>
          <w:p w14:paraId="7232A01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3.2、投标（响应）报价低于通过符合性审查且报价次低供应商投标（响应）报价50%的，即投标（响应）报价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通过符合性审查且报价次低供应商投标（响应）报价×50%；</w:t>
            </w:r>
          </w:p>
          <w:p w14:paraId="4D40264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3.3、投标（响应）报价低于采购项目最高限价45%的，即投标（响应）报价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采购项目最高限价×45%；</w:t>
            </w:r>
          </w:p>
          <w:p w14:paraId="14BD8383">
            <w:pPr>
              <w:rPr>
                <w:rFonts w:hint="eastAsia" w:ascii="宋体" w:hAnsi="宋体" w:eastAsia="宋体" w:cs="宋体"/>
                <w:b/>
                <w:bCs/>
                <w:color w:val="auto"/>
                <w:sz w:val="21"/>
                <w:szCs w:val="21"/>
                <w:highlight w:val="none"/>
                <w:u w:val="double"/>
              </w:rPr>
            </w:pPr>
            <w:r>
              <w:rPr>
                <w:rFonts w:hint="eastAsia" w:ascii="宋体" w:hAnsi="宋体" w:eastAsia="宋体" w:cs="宋体"/>
                <w:color w:val="auto"/>
                <w:sz w:val="21"/>
                <w:szCs w:val="21"/>
                <w:highlight w:val="none"/>
              </w:rPr>
              <w:t>3.4、其他评审委员会认为供应商报价过低，有可能影响产品质量或者不能诚信履约的情形。</w:t>
            </w:r>
          </w:p>
        </w:tc>
        <w:tc>
          <w:tcPr>
            <w:tcW w:w="483" w:type="pct"/>
            <w:tcBorders>
              <w:right w:val="single" w:color="auto" w:sz="4" w:space="0"/>
            </w:tcBorders>
            <w:vAlign w:val="center"/>
          </w:tcPr>
          <w:p w14:paraId="5948E36C">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30% </w:t>
            </w:r>
          </w:p>
        </w:tc>
        <w:tc>
          <w:tcPr>
            <w:tcW w:w="387" w:type="pct"/>
            <w:tcBorders>
              <w:left w:val="single" w:color="auto" w:sz="4" w:space="0"/>
            </w:tcBorders>
            <w:vAlign w:val="center"/>
          </w:tcPr>
          <w:p w14:paraId="47E399DB">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30分</w:t>
            </w:r>
          </w:p>
        </w:tc>
      </w:tr>
      <w:tr w14:paraId="62EC5B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4130" w:type="pct"/>
            <w:gridSpan w:val="3"/>
            <w:vAlign w:val="center"/>
          </w:tcPr>
          <w:p w14:paraId="3476E0FC">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483" w:type="pct"/>
            <w:tcBorders>
              <w:right w:val="single" w:color="auto" w:sz="4" w:space="0"/>
            </w:tcBorders>
            <w:vAlign w:val="center"/>
          </w:tcPr>
          <w:p w14:paraId="5A2C7334">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387" w:type="pct"/>
            <w:tcBorders>
              <w:left w:val="single" w:color="auto" w:sz="4" w:space="0"/>
            </w:tcBorders>
            <w:vAlign w:val="center"/>
          </w:tcPr>
          <w:p w14:paraId="1CF28D02">
            <w:pPr>
              <w:ind w:left="-78" w:leftChars="-37" w:right="-73" w:rightChars="-3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100分</w:t>
            </w:r>
          </w:p>
        </w:tc>
      </w:tr>
    </w:tbl>
    <w:p w14:paraId="52D8A703">
      <w:pPr>
        <w:spacing w:line="360" w:lineRule="auto"/>
        <w:rPr>
          <w:rFonts w:hint="eastAsia" w:ascii="宋体" w:hAnsi="宋体" w:eastAsia="宋体" w:cs="宋体"/>
          <w:b/>
          <w:bCs/>
          <w:color w:val="auto"/>
          <w:sz w:val="21"/>
          <w:szCs w:val="21"/>
          <w:highlight w:val="none"/>
        </w:rPr>
      </w:pPr>
    </w:p>
    <w:p w14:paraId="64CC4F56">
      <w:pPr>
        <w:numPr>
          <w:ilvl w:val="0"/>
          <w:numId w:val="2"/>
        </w:num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项目服务及技术要求</w:t>
      </w:r>
    </w:p>
    <w:p w14:paraId="0D0C9387">
      <w:pPr>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说明：带“★”指标项为关键指标，如出现负偏离，将被视为未实质性满足招标文件要求作投标无效处理。带“▲”指标项为重要参数，负偏离时依据相关评分准则内容作重点扣分处理。</w:t>
      </w:r>
    </w:p>
    <w:p w14:paraId="36844A21">
      <w:pPr>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（一）服务内容</w:t>
      </w:r>
    </w:p>
    <w:p w14:paraId="0C1CB4A6">
      <w:pPr>
        <w:numPr>
          <w:ilvl w:val="0"/>
          <w:numId w:val="8"/>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农林院区</w:t>
      </w:r>
      <w:r>
        <w:rPr>
          <w:rFonts w:hint="eastAsia" w:ascii="宋体" w:hAnsi="宋体" w:eastAsia="宋体" w:cs="宋体"/>
          <w:color w:val="auto"/>
          <w:sz w:val="21"/>
          <w:szCs w:val="21"/>
          <w:highlight w:val="none"/>
        </w:rPr>
        <w:t>、福民院区院本部处理污水。</w:t>
      </w:r>
    </w:p>
    <w:p w14:paraId="444B03EB">
      <w:pPr>
        <w:numPr>
          <w:ilvl w:val="0"/>
          <w:numId w:val="8"/>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污水：从格栅池进水口到标准排放口出口范围内的污水处理设施、设备、药剂投加等日常运行和维护。建立切实可行的设备设施维护制度、完善的售后服务体系。配合院方、生态环境部门、卫生部门的常规检测和问询；污水处理站的设备维护保养及维修工作的具体计划和实施；严格按生态环境部门、卫生部门的相关规定，负责污水处理设施的运营管理；保持污水处理站现场整洁卫生。</w:t>
      </w:r>
    </w:p>
    <w:p w14:paraId="27609015">
      <w:pPr>
        <w:numPr>
          <w:ilvl w:val="0"/>
          <w:numId w:val="8"/>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全权负责污水处理站设备运维，包括但不限于：污水提升泵的维护、采购及应急事件处理，同时承担单价≤1000元维修配件的更换费用；当维修配件单价＞1000元时，中标人须及时向采购人申报，经采购人委托第三方造价公司核价或市场三方比价确认后，由采购人确定维修实施主体。</w:t>
      </w:r>
    </w:p>
    <w:p w14:paraId="70BF103E">
      <w:pPr>
        <w:numPr>
          <w:ilvl w:val="0"/>
          <w:numId w:val="8"/>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档案建立和维护，包括管理制度、交接班制度、完善的项目组织结构图、操作手册、污水站平面图、污水流程图、药剂使用记录、设备维修记录、电子台账、网上申报等上级部门要求提交的报表及资料。</w:t>
      </w:r>
    </w:p>
    <w:p w14:paraId="5E5DF666">
      <w:pPr>
        <w:numPr>
          <w:ilvl w:val="0"/>
          <w:numId w:val="8"/>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农林院区</w:t>
      </w:r>
      <w:r>
        <w:rPr>
          <w:rFonts w:hint="eastAsia" w:ascii="宋体" w:hAnsi="宋体" w:eastAsia="宋体" w:cs="宋体"/>
          <w:color w:val="auto"/>
          <w:sz w:val="21"/>
          <w:szCs w:val="21"/>
          <w:highlight w:val="none"/>
        </w:rPr>
        <w:t xml:space="preserve">、福民院区污水处理设备不少于每周X次进行巡查、维护保养：定期定量投加消毒药剂，确保污水稳定达标消毒排放。 </w:t>
      </w:r>
    </w:p>
    <w:p w14:paraId="4928A7CC">
      <w:pPr>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（二）技术要求</w:t>
      </w:r>
    </w:p>
    <w:p w14:paraId="37BA1CB8">
      <w:pPr>
        <w:numPr>
          <w:ilvl w:val="0"/>
          <w:numId w:val="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污水：采购人运营产生的废水主要包括医疗污水与生活污水两类：生活污水经化粪池预处理后汇入自建污水处理站；医疗污水则经专用管道接入处理站，与生活污水混合处理，确保出水水质达到《医疗机构水污染物排放标准》（GB 18466-2005）规定的预处理排放限值，最终排入市政污水处理厂管网。水污染物排放浓度限值具体如下：</w:t>
      </w:r>
    </w:p>
    <w:p w14:paraId="79EC8FFD">
      <w:pPr>
        <w:adjustRightInd w:val="0"/>
        <w:snapToGrid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表1  水污染物排放浓度限值</w:t>
      </w:r>
    </w:p>
    <w:tbl>
      <w:tblPr>
        <w:tblStyle w:val="5"/>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3453"/>
        <w:gridCol w:w="1445"/>
        <w:gridCol w:w="1740"/>
      </w:tblGrid>
      <w:tr w14:paraId="6BBA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69" w:type="pct"/>
            <w:vMerge w:val="restart"/>
            <w:vAlign w:val="center"/>
          </w:tcPr>
          <w:p w14:paraId="035CD240">
            <w:pPr>
              <w:adjustRightInd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2096" w:type="pct"/>
            <w:vMerge w:val="restart"/>
            <w:vAlign w:val="center"/>
          </w:tcPr>
          <w:p w14:paraId="1AFAA61D">
            <w:pPr>
              <w:adjustRightInd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污染物</w:t>
            </w:r>
          </w:p>
        </w:tc>
        <w:tc>
          <w:tcPr>
            <w:tcW w:w="877" w:type="pct"/>
            <w:vAlign w:val="center"/>
          </w:tcPr>
          <w:p w14:paraId="1CC3573E">
            <w:pPr>
              <w:adjustRightInd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限值</w:t>
            </w:r>
          </w:p>
        </w:tc>
        <w:tc>
          <w:tcPr>
            <w:tcW w:w="1056" w:type="pct"/>
            <w:vMerge w:val="restart"/>
            <w:vAlign w:val="center"/>
          </w:tcPr>
          <w:p w14:paraId="0CF69B8D">
            <w:pPr>
              <w:adjustRightInd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污染物排放监控位置</w:t>
            </w:r>
          </w:p>
        </w:tc>
      </w:tr>
      <w:tr w14:paraId="2545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69" w:type="pct"/>
            <w:vMerge w:val="continue"/>
            <w:vAlign w:val="center"/>
          </w:tcPr>
          <w:p w14:paraId="5EC1BE28">
            <w:pPr>
              <w:adjustRightInd w:val="0"/>
              <w:snapToGrid w:val="0"/>
              <w:jc w:val="center"/>
              <w:rPr>
                <w:rFonts w:hint="eastAsia" w:ascii="宋体" w:hAnsi="宋体" w:eastAsia="宋体" w:cs="宋体"/>
                <w:b/>
                <w:bCs/>
                <w:color w:val="auto"/>
                <w:sz w:val="21"/>
                <w:szCs w:val="21"/>
                <w:highlight w:val="none"/>
              </w:rPr>
            </w:pPr>
          </w:p>
        </w:tc>
        <w:tc>
          <w:tcPr>
            <w:tcW w:w="2096" w:type="pct"/>
            <w:vMerge w:val="continue"/>
            <w:vAlign w:val="center"/>
          </w:tcPr>
          <w:p w14:paraId="49A8DF92">
            <w:pPr>
              <w:adjustRightInd w:val="0"/>
              <w:snapToGrid w:val="0"/>
              <w:jc w:val="center"/>
              <w:rPr>
                <w:rFonts w:hint="eastAsia" w:ascii="宋体" w:hAnsi="宋体" w:eastAsia="宋体" w:cs="宋体"/>
                <w:b/>
                <w:bCs/>
                <w:color w:val="auto"/>
                <w:sz w:val="21"/>
                <w:szCs w:val="21"/>
                <w:highlight w:val="none"/>
              </w:rPr>
            </w:pPr>
          </w:p>
        </w:tc>
        <w:tc>
          <w:tcPr>
            <w:tcW w:w="877" w:type="pct"/>
            <w:vAlign w:val="center"/>
          </w:tcPr>
          <w:p w14:paraId="6E95B21D">
            <w:pPr>
              <w:adjustRightInd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间接排放</w:t>
            </w:r>
          </w:p>
        </w:tc>
        <w:tc>
          <w:tcPr>
            <w:tcW w:w="1056" w:type="pct"/>
            <w:vMerge w:val="continue"/>
            <w:vAlign w:val="center"/>
          </w:tcPr>
          <w:p w14:paraId="7FDEE6B6">
            <w:pPr>
              <w:adjustRightInd w:val="0"/>
              <w:snapToGrid w:val="0"/>
              <w:jc w:val="center"/>
              <w:rPr>
                <w:rFonts w:hint="eastAsia" w:ascii="宋体" w:hAnsi="宋体" w:eastAsia="宋体" w:cs="宋体"/>
                <w:b/>
                <w:bCs/>
                <w:color w:val="auto"/>
                <w:sz w:val="21"/>
                <w:szCs w:val="21"/>
                <w:highlight w:val="none"/>
              </w:rPr>
            </w:pPr>
          </w:p>
        </w:tc>
      </w:tr>
      <w:tr w14:paraId="652D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021A691C">
            <w:pPr>
              <w:adjustRightInd w:val="0"/>
              <w:snapToGrid w:val="0"/>
              <w:jc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1</w:t>
            </w:r>
          </w:p>
        </w:tc>
        <w:tc>
          <w:tcPr>
            <w:tcW w:w="2096" w:type="pct"/>
            <w:vAlign w:val="center"/>
          </w:tcPr>
          <w:p w14:paraId="4A3F0F38">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pH</w:t>
            </w:r>
          </w:p>
        </w:tc>
        <w:tc>
          <w:tcPr>
            <w:tcW w:w="877" w:type="pct"/>
            <w:vAlign w:val="center"/>
          </w:tcPr>
          <w:p w14:paraId="7037AC16">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6-9</w:t>
            </w:r>
          </w:p>
        </w:tc>
        <w:tc>
          <w:tcPr>
            <w:tcW w:w="1056" w:type="pct"/>
            <w:vMerge w:val="restart"/>
            <w:vAlign w:val="center"/>
          </w:tcPr>
          <w:p w14:paraId="22D1C98C">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污水总排放口</w:t>
            </w:r>
          </w:p>
        </w:tc>
      </w:tr>
      <w:tr w14:paraId="4ED3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259BF809">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096" w:type="pct"/>
            <w:vAlign w:val="center"/>
          </w:tcPr>
          <w:p w14:paraId="6B87421D">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阴离子表面活性剂（mg/L）</w:t>
            </w:r>
          </w:p>
        </w:tc>
        <w:tc>
          <w:tcPr>
            <w:tcW w:w="877" w:type="pct"/>
            <w:vAlign w:val="center"/>
          </w:tcPr>
          <w:p w14:paraId="3F00525D">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056" w:type="pct"/>
            <w:vMerge w:val="continue"/>
            <w:vAlign w:val="center"/>
          </w:tcPr>
          <w:p w14:paraId="0A648F22">
            <w:pPr>
              <w:adjustRightInd w:val="0"/>
              <w:snapToGrid w:val="0"/>
              <w:jc w:val="center"/>
              <w:rPr>
                <w:rFonts w:hint="eastAsia" w:ascii="宋体" w:hAnsi="宋体" w:eastAsia="宋体" w:cs="宋体"/>
                <w:color w:val="auto"/>
                <w:sz w:val="21"/>
                <w:szCs w:val="21"/>
                <w:highlight w:val="none"/>
              </w:rPr>
            </w:pPr>
          </w:p>
        </w:tc>
      </w:tr>
      <w:tr w14:paraId="40DA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2BA8C410">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096" w:type="pct"/>
            <w:vAlign w:val="center"/>
          </w:tcPr>
          <w:p w14:paraId="04765190">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肠道致病菌</w:t>
            </w:r>
          </w:p>
        </w:tc>
        <w:tc>
          <w:tcPr>
            <w:tcW w:w="877" w:type="pct"/>
            <w:vAlign w:val="center"/>
          </w:tcPr>
          <w:p w14:paraId="4A23BA2F">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不得检出</w:t>
            </w:r>
          </w:p>
        </w:tc>
        <w:tc>
          <w:tcPr>
            <w:tcW w:w="1056" w:type="pct"/>
            <w:vMerge w:val="continue"/>
            <w:vAlign w:val="center"/>
          </w:tcPr>
          <w:p w14:paraId="57AA71BE">
            <w:pPr>
              <w:adjustRightInd w:val="0"/>
              <w:snapToGrid w:val="0"/>
              <w:jc w:val="center"/>
              <w:rPr>
                <w:rFonts w:hint="eastAsia" w:ascii="宋体" w:hAnsi="宋体" w:eastAsia="宋体" w:cs="宋体"/>
                <w:color w:val="auto"/>
                <w:sz w:val="21"/>
                <w:szCs w:val="21"/>
                <w:highlight w:val="none"/>
              </w:rPr>
            </w:pPr>
          </w:p>
        </w:tc>
      </w:tr>
      <w:tr w14:paraId="4F10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16122226">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096" w:type="pct"/>
            <w:vAlign w:val="center"/>
          </w:tcPr>
          <w:p w14:paraId="50B4C02E">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总氰化物（mg/L）</w:t>
            </w:r>
          </w:p>
        </w:tc>
        <w:tc>
          <w:tcPr>
            <w:tcW w:w="877" w:type="pct"/>
            <w:vAlign w:val="center"/>
          </w:tcPr>
          <w:p w14:paraId="413D7D47">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c>
          <w:tcPr>
            <w:tcW w:w="1056" w:type="pct"/>
            <w:vMerge w:val="continue"/>
            <w:vAlign w:val="center"/>
          </w:tcPr>
          <w:p w14:paraId="6EFBDB17">
            <w:pPr>
              <w:adjustRightInd w:val="0"/>
              <w:snapToGrid w:val="0"/>
              <w:jc w:val="center"/>
              <w:rPr>
                <w:rFonts w:hint="eastAsia" w:ascii="宋体" w:hAnsi="宋体" w:eastAsia="宋体" w:cs="宋体"/>
                <w:color w:val="auto"/>
                <w:sz w:val="21"/>
                <w:szCs w:val="21"/>
                <w:highlight w:val="none"/>
              </w:rPr>
            </w:pPr>
          </w:p>
        </w:tc>
      </w:tr>
      <w:tr w14:paraId="0D7E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596488E8">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096" w:type="pct"/>
            <w:vAlign w:val="center"/>
          </w:tcPr>
          <w:p w14:paraId="00E50D8B">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五日生化需氧量（mg/L）</w:t>
            </w:r>
          </w:p>
        </w:tc>
        <w:tc>
          <w:tcPr>
            <w:tcW w:w="877" w:type="pct"/>
            <w:vAlign w:val="center"/>
          </w:tcPr>
          <w:p w14:paraId="6E453821">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1056" w:type="pct"/>
            <w:vMerge w:val="continue"/>
            <w:vAlign w:val="center"/>
          </w:tcPr>
          <w:p w14:paraId="70873163">
            <w:pPr>
              <w:adjustRightInd w:val="0"/>
              <w:snapToGrid w:val="0"/>
              <w:jc w:val="center"/>
              <w:rPr>
                <w:rFonts w:hint="eastAsia" w:ascii="宋体" w:hAnsi="宋体" w:eastAsia="宋体" w:cs="宋体"/>
                <w:color w:val="auto"/>
                <w:sz w:val="21"/>
                <w:szCs w:val="21"/>
                <w:highlight w:val="none"/>
              </w:rPr>
            </w:pPr>
          </w:p>
        </w:tc>
      </w:tr>
      <w:tr w14:paraId="1D16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4E12BCB2">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096" w:type="pct"/>
            <w:vAlign w:val="center"/>
          </w:tcPr>
          <w:p w14:paraId="3FDDD67A">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色度（稀释倍数）</w:t>
            </w:r>
          </w:p>
        </w:tc>
        <w:tc>
          <w:tcPr>
            <w:tcW w:w="877" w:type="pct"/>
            <w:vAlign w:val="center"/>
          </w:tcPr>
          <w:p w14:paraId="3C79C9AE">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56" w:type="pct"/>
            <w:vMerge w:val="continue"/>
            <w:vAlign w:val="center"/>
          </w:tcPr>
          <w:p w14:paraId="273AFD5E">
            <w:pPr>
              <w:adjustRightInd w:val="0"/>
              <w:snapToGrid w:val="0"/>
              <w:jc w:val="center"/>
              <w:rPr>
                <w:rFonts w:hint="eastAsia" w:ascii="宋体" w:hAnsi="宋体" w:eastAsia="宋体" w:cs="宋体"/>
                <w:color w:val="auto"/>
                <w:sz w:val="21"/>
                <w:szCs w:val="21"/>
                <w:highlight w:val="none"/>
              </w:rPr>
            </w:pPr>
          </w:p>
        </w:tc>
      </w:tr>
      <w:tr w14:paraId="1B3D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0C0BA793">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096" w:type="pct"/>
            <w:vAlign w:val="center"/>
          </w:tcPr>
          <w:p w14:paraId="36286C79">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总余氯（以Cl计）（mg/L）</w:t>
            </w:r>
          </w:p>
        </w:tc>
        <w:tc>
          <w:tcPr>
            <w:tcW w:w="877" w:type="pct"/>
            <w:vAlign w:val="center"/>
          </w:tcPr>
          <w:p w14:paraId="47D62F07">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1056" w:type="pct"/>
            <w:vMerge w:val="continue"/>
            <w:vAlign w:val="center"/>
          </w:tcPr>
          <w:p w14:paraId="7ED70DE9">
            <w:pPr>
              <w:adjustRightInd w:val="0"/>
              <w:snapToGrid w:val="0"/>
              <w:jc w:val="center"/>
              <w:rPr>
                <w:rFonts w:hint="eastAsia" w:ascii="宋体" w:hAnsi="宋体" w:eastAsia="宋体" w:cs="宋体"/>
                <w:color w:val="auto"/>
                <w:sz w:val="21"/>
                <w:szCs w:val="21"/>
                <w:highlight w:val="none"/>
              </w:rPr>
            </w:pPr>
          </w:p>
        </w:tc>
      </w:tr>
      <w:tr w14:paraId="1D93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24370ADD">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096" w:type="pct"/>
            <w:vAlign w:val="center"/>
          </w:tcPr>
          <w:p w14:paraId="6EA88212">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粪大肠菌群数（MPN/L）</w:t>
            </w:r>
          </w:p>
        </w:tc>
        <w:tc>
          <w:tcPr>
            <w:tcW w:w="877" w:type="pct"/>
            <w:vAlign w:val="center"/>
          </w:tcPr>
          <w:p w14:paraId="5192D8CF">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w:t>
            </w:r>
          </w:p>
        </w:tc>
        <w:tc>
          <w:tcPr>
            <w:tcW w:w="1056" w:type="pct"/>
            <w:vMerge w:val="continue"/>
            <w:vAlign w:val="center"/>
          </w:tcPr>
          <w:p w14:paraId="0994692D">
            <w:pPr>
              <w:adjustRightInd w:val="0"/>
              <w:snapToGrid w:val="0"/>
              <w:jc w:val="center"/>
              <w:rPr>
                <w:rFonts w:hint="eastAsia" w:ascii="宋体" w:hAnsi="宋体" w:eastAsia="宋体" w:cs="宋体"/>
                <w:color w:val="auto"/>
                <w:sz w:val="21"/>
                <w:szCs w:val="21"/>
                <w:highlight w:val="none"/>
              </w:rPr>
            </w:pPr>
          </w:p>
        </w:tc>
      </w:tr>
      <w:tr w14:paraId="2BD7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40955F44">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096" w:type="pct"/>
            <w:vAlign w:val="center"/>
          </w:tcPr>
          <w:p w14:paraId="3D748FDE">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氨氮（mg/L）</w:t>
            </w:r>
          </w:p>
        </w:tc>
        <w:tc>
          <w:tcPr>
            <w:tcW w:w="877" w:type="pct"/>
            <w:vAlign w:val="center"/>
          </w:tcPr>
          <w:p w14:paraId="3BBFFB29">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56" w:type="pct"/>
            <w:vMerge w:val="continue"/>
            <w:vAlign w:val="center"/>
          </w:tcPr>
          <w:p w14:paraId="4F13209F">
            <w:pPr>
              <w:adjustRightInd w:val="0"/>
              <w:snapToGrid w:val="0"/>
              <w:jc w:val="center"/>
              <w:rPr>
                <w:rFonts w:hint="eastAsia" w:ascii="宋体" w:hAnsi="宋体" w:eastAsia="宋体" w:cs="宋体"/>
                <w:color w:val="auto"/>
                <w:sz w:val="21"/>
                <w:szCs w:val="21"/>
                <w:highlight w:val="none"/>
              </w:rPr>
            </w:pPr>
          </w:p>
        </w:tc>
      </w:tr>
      <w:tr w14:paraId="579E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7DC8DE9D">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2096" w:type="pct"/>
            <w:vAlign w:val="center"/>
          </w:tcPr>
          <w:p w14:paraId="1E112CCA">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动植物油（mg/L）</w:t>
            </w:r>
          </w:p>
        </w:tc>
        <w:tc>
          <w:tcPr>
            <w:tcW w:w="877" w:type="pct"/>
            <w:vAlign w:val="center"/>
          </w:tcPr>
          <w:p w14:paraId="13F00FB0">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056" w:type="pct"/>
            <w:vMerge w:val="continue"/>
            <w:vAlign w:val="center"/>
          </w:tcPr>
          <w:p w14:paraId="7B967F4B">
            <w:pPr>
              <w:adjustRightInd w:val="0"/>
              <w:snapToGrid w:val="0"/>
              <w:jc w:val="center"/>
              <w:rPr>
                <w:rFonts w:hint="eastAsia" w:ascii="宋体" w:hAnsi="宋体" w:eastAsia="宋体" w:cs="宋体"/>
                <w:color w:val="auto"/>
                <w:sz w:val="21"/>
                <w:szCs w:val="21"/>
                <w:highlight w:val="none"/>
              </w:rPr>
            </w:pPr>
          </w:p>
        </w:tc>
      </w:tr>
      <w:tr w14:paraId="0E48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6F350C8F">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096" w:type="pct"/>
            <w:vAlign w:val="center"/>
          </w:tcPr>
          <w:p w14:paraId="612FC847">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肠道病毒</w:t>
            </w:r>
          </w:p>
        </w:tc>
        <w:tc>
          <w:tcPr>
            <w:tcW w:w="877" w:type="pct"/>
            <w:vAlign w:val="center"/>
          </w:tcPr>
          <w:p w14:paraId="01232F3A">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不得检出</w:t>
            </w:r>
          </w:p>
        </w:tc>
        <w:tc>
          <w:tcPr>
            <w:tcW w:w="1056" w:type="pct"/>
            <w:vMerge w:val="continue"/>
            <w:vAlign w:val="center"/>
          </w:tcPr>
          <w:p w14:paraId="3DD778F8">
            <w:pPr>
              <w:adjustRightInd w:val="0"/>
              <w:snapToGrid w:val="0"/>
              <w:jc w:val="center"/>
              <w:rPr>
                <w:rFonts w:hint="eastAsia" w:ascii="宋体" w:hAnsi="宋体" w:eastAsia="宋体" w:cs="宋体"/>
                <w:color w:val="auto"/>
                <w:sz w:val="21"/>
                <w:szCs w:val="21"/>
                <w:highlight w:val="none"/>
              </w:rPr>
            </w:pPr>
          </w:p>
        </w:tc>
      </w:tr>
      <w:tr w14:paraId="0B66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13F1AD2F">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096" w:type="pct"/>
            <w:vAlign w:val="center"/>
          </w:tcPr>
          <w:p w14:paraId="398DB167">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挥发酚（mg/L）</w:t>
            </w:r>
          </w:p>
        </w:tc>
        <w:tc>
          <w:tcPr>
            <w:tcW w:w="877" w:type="pct"/>
            <w:vAlign w:val="center"/>
          </w:tcPr>
          <w:p w14:paraId="0BDB8148">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056" w:type="pct"/>
            <w:vMerge w:val="continue"/>
            <w:vAlign w:val="center"/>
          </w:tcPr>
          <w:p w14:paraId="7EFB57DB">
            <w:pPr>
              <w:adjustRightInd w:val="0"/>
              <w:snapToGrid w:val="0"/>
              <w:jc w:val="center"/>
              <w:rPr>
                <w:rFonts w:hint="eastAsia" w:ascii="宋体" w:hAnsi="宋体" w:eastAsia="宋体" w:cs="宋体"/>
                <w:color w:val="auto"/>
                <w:sz w:val="21"/>
                <w:szCs w:val="21"/>
                <w:highlight w:val="none"/>
              </w:rPr>
            </w:pPr>
          </w:p>
        </w:tc>
      </w:tr>
      <w:tr w14:paraId="36CD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73C90230">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096" w:type="pct"/>
            <w:vAlign w:val="center"/>
          </w:tcPr>
          <w:p w14:paraId="0165D923">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悬浮物（mg/L）</w:t>
            </w:r>
          </w:p>
        </w:tc>
        <w:tc>
          <w:tcPr>
            <w:tcW w:w="877" w:type="pct"/>
            <w:vAlign w:val="center"/>
          </w:tcPr>
          <w:p w14:paraId="3B47C432">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w:t>
            </w:r>
          </w:p>
        </w:tc>
        <w:tc>
          <w:tcPr>
            <w:tcW w:w="1056" w:type="pct"/>
            <w:vMerge w:val="continue"/>
            <w:vAlign w:val="center"/>
          </w:tcPr>
          <w:p w14:paraId="4B3E79A5">
            <w:pPr>
              <w:adjustRightInd w:val="0"/>
              <w:snapToGrid w:val="0"/>
              <w:jc w:val="center"/>
              <w:rPr>
                <w:rFonts w:hint="eastAsia" w:ascii="宋体" w:hAnsi="宋体" w:eastAsia="宋体" w:cs="宋体"/>
                <w:color w:val="auto"/>
                <w:sz w:val="21"/>
                <w:szCs w:val="21"/>
                <w:highlight w:val="none"/>
              </w:rPr>
            </w:pPr>
          </w:p>
        </w:tc>
      </w:tr>
      <w:tr w14:paraId="5976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0960ABAA">
            <w:pPr>
              <w:adjustRightInd w:val="0"/>
              <w:snapToGri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w:t>
            </w:r>
          </w:p>
        </w:tc>
        <w:tc>
          <w:tcPr>
            <w:tcW w:w="2096" w:type="pct"/>
            <w:vAlign w:val="center"/>
          </w:tcPr>
          <w:p w14:paraId="5CA64736">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化学需氧量（mg/L）</w:t>
            </w:r>
          </w:p>
        </w:tc>
        <w:tc>
          <w:tcPr>
            <w:tcW w:w="877" w:type="pct"/>
            <w:vAlign w:val="center"/>
          </w:tcPr>
          <w:p w14:paraId="7206D421">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250</w:t>
            </w:r>
          </w:p>
        </w:tc>
        <w:tc>
          <w:tcPr>
            <w:tcW w:w="1056" w:type="pct"/>
            <w:vMerge w:val="continue"/>
            <w:vAlign w:val="center"/>
          </w:tcPr>
          <w:p w14:paraId="0B04FD50">
            <w:pPr>
              <w:adjustRightInd w:val="0"/>
              <w:snapToGrid w:val="0"/>
              <w:jc w:val="center"/>
              <w:rPr>
                <w:rFonts w:hint="eastAsia" w:ascii="宋体" w:hAnsi="宋体" w:eastAsia="宋体" w:cs="宋体"/>
                <w:color w:val="auto"/>
                <w:sz w:val="21"/>
                <w:szCs w:val="21"/>
                <w:highlight w:val="none"/>
              </w:rPr>
            </w:pPr>
          </w:p>
        </w:tc>
      </w:tr>
      <w:tr w14:paraId="784B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9" w:type="pct"/>
            <w:vAlign w:val="center"/>
          </w:tcPr>
          <w:p w14:paraId="363211B4">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096" w:type="pct"/>
            <w:vAlign w:val="center"/>
          </w:tcPr>
          <w:p w14:paraId="39DDE99A">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石油类（mg/L）</w:t>
            </w:r>
          </w:p>
        </w:tc>
        <w:tc>
          <w:tcPr>
            <w:tcW w:w="877" w:type="pct"/>
            <w:vAlign w:val="center"/>
          </w:tcPr>
          <w:p w14:paraId="1157902A">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056" w:type="pct"/>
            <w:vMerge w:val="continue"/>
            <w:vAlign w:val="center"/>
          </w:tcPr>
          <w:p w14:paraId="67425F37">
            <w:pPr>
              <w:adjustRightInd w:val="0"/>
              <w:snapToGrid w:val="0"/>
              <w:jc w:val="center"/>
              <w:rPr>
                <w:rFonts w:hint="eastAsia" w:ascii="宋体" w:hAnsi="宋体" w:eastAsia="宋体" w:cs="宋体"/>
                <w:color w:val="auto"/>
                <w:sz w:val="21"/>
                <w:szCs w:val="21"/>
                <w:highlight w:val="none"/>
              </w:rPr>
            </w:pPr>
          </w:p>
        </w:tc>
      </w:tr>
      <w:tr w14:paraId="2212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969" w:type="pct"/>
            <w:vAlign w:val="center"/>
          </w:tcPr>
          <w:p w14:paraId="0BCC2A6F">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2096" w:type="pct"/>
            <w:vAlign w:val="center"/>
          </w:tcPr>
          <w:p w14:paraId="328491F5">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总余氯（以Cl计）（mg/L）</w:t>
            </w:r>
          </w:p>
        </w:tc>
        <w:tc>
          <w:tcPr>
            <w:tcW w:w="877" w:type="pct"/>
            <w:vAlign w:val="center"/>
          </w:tcPr>
          <w:p w14:paraId="22E02F3C">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1056" w:type="pct"/>
            <w:vAlign w:val="center"/>
          </w:tcPr>
          <w:p w14:paraId="0D80D25D">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接触池出口</w:t>
            </w:r>
          </w:p>
        </w:tc>
      </w:tr>
    </w:tbl>
    <w:p w14:paraId="4AC61947">
      <w:pPr>
        <w:numPr>
          <w:ilvl w:val="0"/>
          <w:numId w:val="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组织及实施要求</w:t>
      </w:r>
    </w:p>
    <w:tbl>
      <w:tblPr>
        <w:tblStyle w:val="5"/>
        <w:tblW w:w="83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1670"/>
        <w:gridCol w:w="5734"/>
      </w:tblGrid>
      <w:tr w14:paraId="407A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2" w:type="dxa"/>
          </w:tcPr>
          <w:p w14:paraId="2CC4A717">
            <w:pPr>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670" w:type="dxa"/>
          </w:tcPr>
          <w:p w14:paraId="0F4ADF39">
            <w:pPr>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w:t>
            </w:r>
          </w:p>
        </w:tc>
        <w:tc>
          <w:tcPr>
            <w:tcW w:w="5734" w:type="dxa"/>
          </w:tcPr>
          <w:p w14:paraId="46623438">
            <w:pPr>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服务标准</w:t>
            </w:r>
          </w:p>
        </w:tc>
      </w:tr>
      <w:tr w14:paraId="7E07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restart"/>
            <w:vAlign w:val="center"/>
          </w:tcPr>
          <w:p w14:paraId="2A94DEB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70" w:type="dxa"/>
            <w:vMerge w:val="restart"/>
            <w:vAlign w:val="center"/>
          </w:tcPr>
          <w:p w14:paraId="2C30067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运营服务</w:t>
            </w:r>
          </w:p>
        </w:tc>
        <w:tc>
          <w:tcPr>
            <w:tcW w:w="5734" w:type="dxa"/>
          </w:tcPr>
          <w:p w14:paraId="4973E43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投标人必须制定完善的运营管理网络机构图表</w:t>
            </w:r>
          </w:p>
        </w:tc>
      </w:tr>
      <w:tr w14:paraId="4E87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4C6BB1E">
            <w:pPr>
              <w:rPr>
                <w:rFonts w:hint="eastAsia" w:ascii="宋体" w:hAnsi="宋体" w:eastAsia="宋体" w:cs="宋体"/>
                <w:color w:val="auto"/>
                <w:sz w:val="21"/>
                <w:szCs w:val="21"/>
                <w:highlight w:val="none"/>
              </w:rPr>
            </w:pPr>
          </w:p>
        </w:tc>
        <w:tc>
          <w:tcPr>
            <w:tcW w:w="1670" w:type="dxa"/>
            <w:vMerge w:val="continue"/>
          </w:tcPr>
          <w:p w14:paraId="57052B90">
            <w:pPr>
              <w:rPr>
                <w:rFonts w:hint="eastAsia" w:ascii="宋体" w:hAnsi="宋体" w:eastAsia="宋体" w:cs="宋体"/>
                <w:color w:val="auto"/>
                <w:sz w:val="21"/>
                <w:szCs w:val="21"/>
                <w:highlight w:val="none"/>
              </w:rPr>
            </w:pPr>
          </w:p>
        </w:tc>
        <w:tc>
          <w:tcPr>
            <w:tcW w:w="5734" w:type="dxa"/>
          </w:tcPr>
          <w:p w14:paraId="7C651FF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明确的承包责任条文，包含对当地环保管理机构的承诺以及对发包方的管理、运营承诺</w:t>
            </w:r>
          </w:p>
        </w:tc>
      </w:tr>
      <w:tr w14:paraId="13A3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4E047E20">
            <w:pPr>
              <w:rPr>
                <w:rFonts w:hint="eastAsia" w:ascii="宋体" w:hAnsi="宋体" w:eastAsia="宋体" w:cs="宋体"/>
                <w:color w:val="auto"/>
                <w:sz w:val="21"/>
                <w:szCs w:val="21"/>
                <w:highlight w:val="none"/>
              </w:rPr>
            </w:pPr>
          </w:p>
        </w:tc>
        <w:tc>
          <w:tcPr>
            <w:tcW w:w="1670" w:type="dxa"/>
            <w:vMerge w:val="continue"/>
          </w:tcPr>
          <w:p w14:paraId="1D677821">
            <w:pPr>
              <w:rPr>
                <w:rFonts w:hint="eastAsia" w:ascii="宋体" w:hAnsi="宋体" w:eastAsia="宋体" w:cs="宋体"/>
                <w:color w:val="auto"/>
                <w:sz w:val="21"/>
                <w:szCs w:val="21"/>
                <w:highlight w:val="none"/>
              </w:rPr>
            </w:pPr>
          </w:p>
        </w:tc>
        <w:tc>
          <w:tcPr>
            <w:tcW w:w="5734" w:type="dxa"/>
          </w:tcPr>
          <w:p w14:paraId="2578500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建立健全的考核制度</w:t>
            </w:r>
          </w:p>
        </w:tc>
      </w:tr>
      <w:tr w14:paraId="7BC3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942" w:type="dxa"/>
            <w:vMerge w:val="continue"/>
          </w:tcPr>
          <w:p w14:paraId="099D3F32">
            <w:pPr>
              <w:rPr>
                <w:rFonts w:hint="eastAsia" w:ascii="宋体" w:hAnsi="宋体" w:eastAsia="宋体" w:cs="宋体"/>
                <w:color w:val="auto"/>
                <w:sz w:val="21"/>
                <w:szCs w:val="21"/>
                <w:highlight w:val="none"/>
              </w:rPr>
            </w:pPr>
          </w:p>
        </w:tc>
        <w:tc>
          <w:tcPr>
            <w:tcW w:w="1670" w:type="dxa"/>
            <w:vMerge w:val="continue"/>
          </w:tcPr>
          <w:p w14:paraId="708E1935">
            <w:pPr>
              <w:rPr>
                <w:rFonts w:hint="eastAsia" w:ascii="宋体" w:hAnsi="宋体" w:eastAsia="宋体" w:cs="宋体"/>
                <w:color w:val="auto"/>
                <w:sz w:val="21"/>
                <w:szCs w:val="21"/>
                <w:highlight w:val="none"/>
              </w:rPr>
            </w:pPr>
          </w:p>
        </w:tc>
        <w:tc>
          <w:tcPr>
            <w:tcW w:w="5734" w:type="dxa"/>
          </w:tcPr>
          <w:p w14:paraId="166A015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建立健全的运营参数及设备完好率，记录考核交接班制度</w:t>
            </w:r>
          </w:p>
        </w:tc>
      </w:tr>
      <w:tr w14:paraId="3ACB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42" w:type="dxa"/>
            <w:vMerge w:val="continue"/>
          </w:tcPr>
          <w:p w14:paraId="0571BF0C">
            <w:pPr>
              <w:rPr>
                <w:rFonts w:hint="eastAsia" w:ascii="宋体" w:hAnsi="宋体" w:eastAsia="宋体" w:cs="宋体"/>
                <w:color w:val="auto"/>
                <w:sz w:val="21"/>
                <w:szCs w:val="21"/>
                <w:highlight w:val="none"/>
              </w:rPr>
            </w:pPr>
          </w:p>
        </w:tc>
        <w:tc>
          <w:tcPr>
            <w:tcW w:w="1670" w:type="dxa"/>
            <w:vMerge w:val="continue"/>
          </w:tcPr>
          <w:p w14:paraId="77BAE022">
            <w:pPr>
              <w:rPr>
                <w:rFonts w:hint="eastAsia" w:ascii="宋体" w:hAnsi="宋体" w:eastAsia="宋体" w:cs="宋体"/>
                <w:color w:val="auto"/>
                <w:sz w:val="21"/>
                <w:szCs w:val="21"/>
                <w:highlight w:val="none"/>
              </w:rPr>
            </w:pPr>
          </w:p>
        </w:tc>
        <w:tc>
          <w:tcPr>
            <w:tcW w:w="5734" w:type="dxa"/>
          </w:tcPr>
          <w:p w14:paraId="5735821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保证给排水正常运行使用，保证排放的污水符合国家标准</w:t>
            </w:r>
          </w:p>
        </w:tc>
      </w:tr>
      <w:tr w14:paraId="54E5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restart"/>
            <w:vAlign w:val="center"/>
          </w:tcPr>
          <w:p w14:paraId="35B7523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70" w:type="dxa"/>
            <w:vMerge w:val="restart"/>
            <w:vAlign w:val="center"/>
          </w:tcPr>
          <w:p w14:paraId="54DA23E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设备仪表运营维修、保养制度</w:t>
            </w:r>
          </w:p>
        </w:tc>
        <w:tc>
          <w:tcPr>
            <w:tcW w:w="5734" w:type="dxa"/>
          </w:tcPr>
          <w:p w14:paraId="4FA054E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建有设备保养清单，明确设备保养内容及制度</w:t>
            </w:r>
          </w:p>
        </w:tc>
      </w:tr>
      <w:tr w14:paraId="342C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BDD078C">
            <w:pPr>
              <w:rPr>
                <w:rFonts w:hint="eastAsia" w:ascii="宋体" w:hAnsi="宋体" w:eastAsia="宋体" w:cs="宋体"/>
                <w:color w:val="auto"/>
                <w:sz w:val="21"/>
                <w:szCs w:val="21"/>
                <w:highlight w:val="none"/>
              </w:rPr>
            </w:pPr>
          </w:p>
        </w:tc>
        <w:tc>
          <w:tcPr>
            <w:tcW w:w="1670" w:type="dxa"/>
            <w:vMerge w:val="continue"/>
          </w:tcPr>
          <w:p w14:paraId="39772C99">
            <w:pPr>
              <w:rPr>
                <w:rFonts w:hint="eastAsia" w:ascii="宋体" w:hAnsi="宋体" w:eastAsia="宋体" w:cs="宋体"/>
                <w:color w:val="auto"/>
                <w:sz w:val="21"/>
                <w:szCs w:val="21"/>
                <w:highlight w:val="none"/>
              </w:rPr>
            </w:pPr>
          </w:p>
        </w:tc>
        <w:tc>
          <w:tcPr>
            <w:tcW w:w="5734" w:type="dxa"/>
          </w:tcPr>
          <w:p w14:paraId="2BF6BFE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设备完好率记录和检修计划申报表</w:t>
            </w:r>
          </w:p>
        </w:tc>
      </w:tr>
      <w:tr w14:paraId="3CF3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338147D0">
            <w:pPr>
              <w:rPr>
                <w:rFonts w:hint="eastAsia" w:ascii="宋体" w:hAnsi="宋体" w:eastAsia="宋体" w:cs="宋体"/>
                <w:color w:val="auto"/>
                <w:sz w:val="21"/>
                <w:szCs w:val="21"/>
                <w:highlight w:val="none"/>
              </w:rPr>
            </w:pPr>
          </w:p>
        </w:tc>
        <w:tc>
          <w:tcPr>
            <w:tcW w:w="1670" w:type="dxa"/>
            <w:vMerge w:val="continue"/>
          </w:tcPr>
          <w:p w14:paraId="01ACB32F">
            <w:pPr>
              <w:rPr>
                <w:rFonts w:hint="eastAsia" w:ascii="宋体" w:hAnsi="宋体" w:eastAsia="宋体" w:cs="宋体"/>
                <w:color w:val="auto"/>
                <w:sz w:val="21"/>
                <w:szCs w:val="21"/>
                <w:highlight w:val="none"/>
              </w:rPr>
            </w:pPr>
          </w:p>
        </w:tc>
        <w:tc>
          <w:tcPr>
            <w:tcW w:w="5734" w:type="dxa"/>
          </w:tcPr>
          <w:p w14:paraId="5962C38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设备保养记录，含材料消耗记录</w:t>
            </w:r>
          </w:p>
        </w:tc>
      </w:tr>
      <w:tr w14:paraId="0B71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7400AD88">
            <w:pPr>
              <w:rPr>
                <w:rFonts w:hint="eastAsia" w:ascii="宋体" w:hAnsi="宋体" w:eastAsia="宋体" w:cs="宋体"/>
                <w:color w:val="auto"/>
                <w:sz w:val="21"/>
                <w:szCs w:val="21"/>
                <w:highlight w:val="none"/>
              </w:rPr>
            </w:pPr>
          </w:p>
        </w:tc>
        <w:tc>
          <w:tcPr>
            <w:tcW w:w="1670" w:type="dxa"/>
            <w:vMerge w:val="continue"/>
          </w:tcPr>
          <w:p w14:paraId="590E422D">
            <w:pPr>
              <w:rPr>
                <w:rFonts w:hint="eastAsia" w:ascii="宋体" w:hAnsi="宋体" w:eastAsia="宋体" w:cs="宋体"/>
                <w:color w:val="auto"/>
                <w:sz w:val="21"/>
                <w:szCs w:val="21"/>
                <w:highlight w:val="none"/>
              </w:rPr>
            </w:pPr>
          </w:p>
        </w:tc>
        <w:tc>
          <w:tcPr>
            <w:tcW w:w="5734" w:type="dxa"/>
          </w:tcPr>
          <w:p w14:paraId="130D974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仪表保养检验记录</w:t>
            </w:r>
          </w:p>
        </w:tc>
      </w:tr>
      <w:tr w14:paraId="40115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1CEDE521">
            <w:pPr>
              <w:rPr>
                <w:rFonts w:hint="eastAsia" w:ascii="宋体" w:hAnsi="宋体" w:eastAsia="宋体" w:cs="宋体"/>
                <w:color w:val="auto"/>
                <w:sz w:val="21"/>
                <w:szCs w:val="21"/>
                <w:highlight w:val="none"/>
              </w:rPr>
            </w:pPr>
          </w:p>
        </w:tc>
        <w:tc>
          <w:tcPr>
            <w:tcW w:w="1670" w:type="dxa"/>
            <w:vMerge w:val="continue"/>
          </w:tcPr>
          <w:p w14:paraId="6D7BE453">
            <w:pPr>
              <w:rPr>
                <w:rFonts w:hint="eastAsia" w:ascii="宋体" w:hAnsi="宋体" w:eastAsia="宋体" w:cs="宋体"/>
                <w:color w:val="auto"/>
                <w:sz w:val="21"/>
                <w:szCs w:val="21"/>
                <w:highlight w:val="none"/>
              </w:rPr>
            </w:pPr>
          </w:p>
        </w:tc>
        <w:tc>
          <w:tcPr>
            <w:tcW w:w="5734" w:type="dxa"/>
          </w:tcPr>
          <w:p w14:paraId="44F32CF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电气设备的运营及安全可靠性记录</w:t>
            </w:r>
          </w:p>
        </w:tc>
      </w:tr>
      <w:tr w14:paraId="33A1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7363394E">
            <w:pPr>
              <w:rPr>
                <w:rFonts w:hint="eastAsia" w:ascii="宋体" w:hAnsi="宋体" w:eastAsia="宋体" w:cs="宋体"/>
                <w:color w:val="auto"/>
                <w:sz w:val="21"/>
                <w:szCs w:val="21"/>
                <w:highlight w:val="none"/>
              </w:rPr>
            </w:pPr>
          </w:p>
        </w:tc>
        <w:tc>
          <w:tcPr>
            <w:tcW w:w="1670" w:type="dxa"/>
            <w:vMerge w:val="continue"/>
          </w:tcPr>
          <w:p w14:paraId="409A5401">
            <w:pPr>
              <w:rPr>
                <w:rFonts w:hint="eastAsia" w:ascii="宋体" w:hAnsi="宋体" w:eastAsia="宋体" w:cs="宋体"/>
                <w:color w:val="auto"/>
                <w:sz w:val="21"/>
                <w:szCs w:val="21"/>
                <w:highlight w:val="none"/>
              </w:rPr>
            </w:pPr>
          </w:p>
        </w:tc>
        <w:tc>
          <w:tcPr>
            <w:tcW w:w="5734" w:type="dxa"/>
          </w:tcPr>
          <w:p w14:paraId="7B958F2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制定完善的设备仪表运营完好性考核和奖惩制度</w:t>
            </w:r>
          </w:p>
        </w:tc>
      </w:tr>
      <w:tr w14:paraId="6D87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restart"/>
            <w:vAlign w:val="center"/>
          </w:tcPr>
          <w:p w14:paraId="4BC821B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70" w:type="dxa"/>
            <w:vMerge w:val="restart"/>
            <w:vAlign w:val="center"/>
          </w:tcPr>
          <w:p w14:paraId="57C32E3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现场管理</w:t>
            </w:r>
          </w:p>
        </w:tc>
        <w:tc>
          <w:tcPr>
            <w:tcW w:w="5734" w:type="dxa"/>
          </w:tcPr>
          <w:p w14:paraId="75D0FD0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加强日常检查巡视，防止跑、冒、滴、漏</w:t>
            </w:r>
          </w:p>
        </w:tc>
      </w:tr>
      <w:tr w14:paraId="177B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9B0C7E1">
            <w:pPr>
              <w:rPr>
                <w:rFonts w:hint="eastAsia" w:ascii="宋体" w:hAnsi="宋体" w:eastAsia="宋体" w:cs="宋体"/>
                <w:color w:val="auto"/>
                <w:sz w:val="21"/>
                <w:szCs w:val="21"/>
                <w:highlight w:val="none"/>
              </w:rPr>
            </w:pPr>
          </w:p>
        </w:tc>
        <w:tc>
          <w:tcPr>
            <w:tcW w:w="1670" w:type="dxa"/>
            <w:vMerge w:val="continue"/>
          </w:tcPr>
          <w:p w14:paraId="5DF0B085">
            <w:pPr>
              <w:rPr>
                <w:rFonts w:hint="eastAsia" w:ascii="宋体" w:hAnsi="宋体" w:eastAsia="宋体" w:cs="宋体"/>
                <w:color w:val="auto"/>
                <w:sz w:val="21"/>
                <w:szCs w:val="21"/>
                <w:highlight w:val="none"/>
              </w:rPr>
            </w:pPr>
          </w:p>
        </w:tc>
        <w:tc>
          <w:tcPr>
            <w:tcW w:w="5734" w:type="dxa"/>
          </w:tcPr>
          <w:p w14:paraId="75B0B77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对管路、水箱、阀门等进行日常维护和定期检修</w:t>
            </w:r>
          </w:p>
        </w:tc>
      </w:tr>
      <w:tr w14:paraId="6417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2E8F358">
            <w:pPr>
              <w:rPr>
                <w:rFonts w:hint="eastAsia" w:ascii="宋体" w:hAnsi="宋体" w:eastAsia="宋体" w:cs="宋体"/>
                <w:color w:val="auto"/>
                <w:sz w:val="21"/>
                <w:szCs w:val="21"/>
                <w:highlight w:val="none"/>
              </w:rPr>
            </w:pPr>
          </w:p>
        </w:tc>
        <w:tc>
          <w:tcPr>
            <w:tcW w:w="1670" w:type="dxa"/>
            <w:vMerge w:val="continue"/>
          </w:tcPr>
          <w:p w14:paraId="3DCC226D">
            <w:pPr>
              <w:rPr>
                <w:rFonts w:hint="eastAsia" w:ascii="宋体" w:hAnsi="宋体" w:eastAsia="宋体" w:cs="宋体"/>
                <w:color w:val="auto"/>
                <w:sz w:val="21"/>
                <w:szCs w:val="21"/>
                <w:highlight w:val="none"/>
              </w:rPr>
            </w:pPr>
          </w:p>
        </w:tc>
        <w:tc>
          <w:tcPr>
            <w:tcW w:w="5734" w:type="dxa"/>
          </w:tcPr>
          <w:p w14:paraId="5B5196E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确保门、窗、地面、玻璃等设施无破损、残缺，能正常使用</w:t>
            </w:r>
          </w:p>
        </w:tc>
      </w:tr>
      <w:tr w14:paraId="7DAF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2D6126F">
            <w:pPr>
              <w:rPr>
                <w:rFonts w:hint="eastAsia" w:ascii="宋体" w:hAnsi="宋体" w:eastAsia="宋体" w:cs="宋体"/>
                <w:color w:val="auto"/>
                <w:sz w:val="21"/>
                <w:szCs w:val="21"/>
                <w:highlight w:val="none"/>
              </w:rPr>
            </w:pPr>
          </w:p>
        </w:tc>
        <w:tc>
          <w:tcPr>
            <w:tcW w:w="1670" w:type="dxa"/>
            <w:vMerge w:val="continue"/>
          </w:tcPr>
          <w:p w14:paraId="698DCBB8">
            <w:pPr>
              <w:rPr>
                <w:rFonts w:hint="eastAsia" w:ascii="宋体" w:hAnsi="宋体" w:eastAsia="宋体" w:cs="宋体"/>
                <w:color w:val="auto"/>
                <w:sz w:val="21"/>
                <w:szCs w:val="21"/>
                <w:highlight w:val="none"/>
              </w:rPr>
            </w:pPr>
          </w:p>
        </w:tc>
        <w:tc>
          <w:tcPr>
            <w:tcW w:w="5734" w:type="dxa"/>
          </w:tcPr>
          <w:p w14:paraId="7FCD2FC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定期对污水处理设施进行清通、养护及清除污垢，保证排水系统通畅</w:t>
            </w:r>
          </w:p>
        </w:tc>
      </w:tr>
      <w:tr w14:paraId="68B6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47A9514F">
            <w:pPr>
              <w:rPr>
                <w:rFonts w:hint="eastAsia" w:ascii="宋体" w:hAnsi="宋体" w:eastAsia="宋体" w:cs="宋体"/>
                <w:color w:val="auto"/>
                <w:sz w:val="21"/>
                <w:szCs w:val="21"/>
                <w:highlight w:val="none"/>
              </w:rPr>
            </w:pPr>
          </w:p>
        </w:tc>
        <w:tc>
          <w:tcPr>
            <w:tcW w:w="1670" w:type="dxa"/>
            <w:vMerge w:val="continue"/>
          </w:tcPr>
          <w:p w14:paraId="45A13152">
            <w:pPr>
              <w:rPr>
                <w:rFonts w:hint="eastAsia" w:ascii="宋体" w:hAnsi="宋体" w:eastAsia="宋体" w:cs="宋体"/>
                <w:color w:val="auto"/>
                <w:sz w:val="21"/>
                <w:szCs w:val="21"/>
                <w:highlight w:val="none"/>
              </w:rPr>
            </w:pPr>
          </w:p>
        </w:tc>
        <w:tc>
          <w:tcPr>
            <w:tcW w:w="5734" w:type="dxa"/>
          </w:tcPr>
          <w:p w14:paraId="53EDE6A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对电气设备定期巡视维护和重点检测</w:t>
            </w:r>
          </w:p>
        </w:tc>
      </w:tr>
      <w:tr w14:paraId="1EA7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48D754D3">
            <w:pPr>
              <w:rPr>
                <w:rFonts w:hint="eastAsia" w:ascii="宋体" w:hAnsi="宋体" w:eastAsia="宋体" w:cs="宋体"/>
                <w:color w:val="auto"/>
                <w:sz w:val="21"/>
                <w:szCs w:val="21"/>
                <w:highlight w:val="none"/>
              </w:rPr>
            </w:pPr>
          </w:p>
        </w:tc>
        <w:tc>
          <w:tcPr>
            <w:tcW w:w="1670" w:type="dxa"/>
            <w:vMerge w:val="continue"/>
          </w:tcPr>
          <w:p w14:paraId="07DE0BC8">
            <w:pPr>
              <w:rPr>
                <w:rFonts w:hint="eastAsia" w:ascii="宋体" w:hAnsi="宋体" w:eastAsia="宋体" w:cs="宋体"/>
                <w:color w:val="auto"/>
                <w:sz w:val="21"/>
                <w:szCs w:val="21"/>
                <w:highlight w:val="none"/>
              </w:rPr>
            </w:pPr>
          </w:p>
        </w:tc>
        <w:tc>
          <w:tcPr>
            <w:tcW w:w="5734" w:type="dxa"/>
          </w:tcPr>
          <w:p w14:paraId="6C76A50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加强日常维护检修，公共使用的照明灯具、线路、开关保证完好，确保用电安全；</w:t>
            </w:r>
          </w:p>
        </w:tc>
      </w:tr>
      <w:tr w14:paraId="7AF2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F6F8381">
            <w:pPr>
              <w:rPr>
                <w:rFonts w:hint="eastAsia" w:ascii="宋体" w:hAnsi="宋体" w:eastAsia="宋体" w:cs="宋体"/>
                <w:color w:val="auto"/>
                <w:sz w:val="21"/>
                <w:szCs w:val="21"/>
                <w:highlight w:val="none"/>
              </w:rPr>
            </w:pPr>
          </w:p>
        </w:tc>
        <w:tc>
          <w:tcPr>
            <w:tcW w:w="1670" w:type="dxa"/>
            <w:vMerge w:val="continue"/>
          </w:tcPr>
          <w:p w14:paraId="4414A2B6">
            <w:pPr>
              <w:rPr>
                <w:rFonts w:hint="eastAsia" w:ascii="宋体" w:hAnsi="宋体" w:eastAsia="宋体" w:cs="宋体"/>
                <w:color w:val="auto"/>
                <w:sz w:val="21"/>
                <w:szCs w:val="21"/>
                <w:highlight w:val="none"/>
              </w:rPr>
            </w:pPr>
          </w:p>
        </w:tc>
        <w:tc>
          <w:tcPr>
            <w:tcW w:w="5734" w:type="dxa"/>
          </w:tcPr>
          <w:p w14:paraId="66B2F87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及时发现并解决故障，零修合格率100%，保证设备完好率95%以上。</w:t>
            </w:r>
          </w:p>
        </w:tc>
      </w:tr>
      <w:tr w14:paraId="406C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Align w:val="center"/>
          </w:tcPr>
          <w:p w14:paraId="442F696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70" w:type="dxa"/>
            <w:vAlign w:val="center"/>
          </w:tcPr>
          <w:p w14:paraId="69EC416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资料管理</w:t>
            </w:r>
          </w:p>
        </w:tc>
        <w:tc>
          <w:tcPr>
            <w:tcW w:w="5734" w:type="dxa"/>
          </w:tcPr>
          <w:p w14:paraId="2795FF3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必须保证交给院方的各项档案资料的完整性、完好性。</w:t>
            </w:r>
          </w:p>
        </w:tc>
      </w:tr>
      <w:tr w14:paraId="081B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Align w:val="center"/>
          </w:tcPr>
          <w:p w14:paraId="1C5ACE4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70" w:type="dxa"/>
            <w:vAlign w:val="center"/>
          </w:tcPr>
          <w:p w14:paraId="62A89E6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服务受理</w:t>
            </w:r>
          </w:p>
        </w:tc>
        <w:tc>
          <w:tcPr>
            <w:tcW w:w="5734" w:type="dxa"/>
          </w:tcPr>
          <w:p w14:paraId="79D1FE7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保证有效投诉处理并整改率100%；保证管理服务用户总满意率90%以上。</w:t>
            </w:r>
          </w:p>
        </w:tc>
      </w:tr>
    </w:tbl>
    <w:p w14:paraId="26D41834">
      <w:pPr>
        <w:numPr>
          <w:ilvl w:val="0"/>
          <w:numId w:val="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项目人员要求</w:t>
      </w:r>
    </w:p>
    <w:tbl>
      <w:tblPr>
        <w:tblStyle w:val="5"/>
        <w:tblW w:w="504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6"/>
        <w:gridCol w:w="1229"/>
        <w:gridCol w:w="5645"/>
      </w:tblGrid>
      <w:tr w14:paraId="4C4B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03" w:type="pct"/>
            <w:vAlign w:val="center"/>
          </w:tcPr>
          <w:p w14:paraId="31B13E16">
            <w:pPr>
              <w:spacing w:line="32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岗位</w:t>
            </w:r>
          </w:p>
        </w:tc>
        <w:tc>
          <w:tcPr>
            <w:tcW w:w="714" w:type="pct"/>
            <w:vAlign w:val="center"/>
          </w:tcPr>
          <w:p w14:paraId="77A7987F">
            <w:pPr>
              <w:spacing w:line="32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人数</w:t>
            </w:r>
          </w:p>
        </w:tc>
        <w:tc>
          <w:tcPr>
            <w:tcW w:w="3281" w:type="pct"/>
            <w:vAlign w:val="center"/>
          </w:tcPr>
          <w:p w14:paraId="73923D6A">
            <w:pPr>
              <w:spacing w:line="32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人员基本要求</w:t>
            </w:r>
          </w:p>
        </w:tc>
      </w:tr>
      <w:tr w14:paraId="10E1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vAlign w:val="center"/>
          </w:tcPr>
          <w:p w14:paraId="74582A85">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污水设备运维人员</w:t>
            </w:r>
          </w:p>
        </w:tc>
        <w:tc>
          <w:tcPr>
            <w:tcW w:w="714" w:type="pct"/>
            <w:vAlign w:val="center"/>
          </w:tcPr>
          <w:p w14:paraId="75641D42">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281" w:type="pct"/>
            <w:vAlign w:val="center"/>
          </w:tcPr>
          <w:p w14:paraId="1CC37161">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身体健康，必须经过严格培训考核，具有污废水处理工证；必须具有处理突发事故的能力。</w:t>
            </w:r>
          </w:p>
        </w:tc>
      </w:tr>
      <w:tr w14:paraId="42B9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vAlign w:val="center"/>
          </w:tcPr>
          <w:p w14:paraId="2D9C45BE">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电气机修人员</w:t>
            </w:r>
          </w:p>
        </w:tc>
        <w:tc>
          <w:tcPr>
            <w:tcW w:w="714" w:type="pct"/>
            <w:vAlign w:val="center"/>
          </w:tcPr>
          <w:p w14:paraId="5F2C42BE">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1（兼职）</w:t>
            </w:r>
          </w:p>
        </w:tc>
        <w:tc>
          <w:tcPr>
            <w:tcW w:w="3281" w:type="pct"/>
            <w:vAlign w:val="center"/>
          </w:tcPr>
          <w:p w14:paraId="4009601F">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具有电工证，具有机电维修能力。</w:t>
            </w:r>
          </w:p>
        </w:tc>
      </w:tr>
      <w:tr w14:paraId="2033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vAlign w:val="center"/>
          </w:tcPr>
          <w:p w14:paraId="15D50187">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环保主任管理人员</w:t>
            </w:r>
          </w:p>
        </w:tc>
        <w:tc>
          <w:tcPr>
            <w:tcW w:w="714" w:type="pct"/>
            <w:vAlign w:val="center"/>
          </w:tcPr>
          <w:p w14:paraId="27A847C6">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1（兼职）</w:t>
            </w:r>
          </w:p>
        </w:tc>
        <w:tc>
          <w:tcPr>
            <w:tcW w:w="3281" w:type="pct"/>
            <w:vAlign w:val="center"/>
          </w:tcPr>
          <w:p w14:paraId="7DD64573">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身体健康，环保相关专业本科以上学历或者具备环保主任培训证；全面负责污水站的运行管理；负责污水站所有制度的制定和监督执行；负责与总公司、院方及生态环境部门的协调沟通。</w:t>
            </w:r>
          </w:p>
        </w:tc>
      </w:tr>
    </w:tbl>
    <w:p w14:paraId="6D2DF322">
      <w:pPr>
        <w:widowControl/>
        <w:numPr>
          <w:ilvl w:val="0"/>
          <w:numId w:val="9"/>
        </w:num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采购人有权在服务范围内对中标人的工作职责、工作任务、服务区域、服务标准提出具体要求。并对中标人履行本项目服务的具体实施情况进行监督、跟进、检查。</w:t>
      </w:r>
    </w:p>
    <w:p w14:paraId="16D548B4">
      <w:pPr>
        <w:widowControl/>
        <w:numPr>
          <w:ilvl w:val="0"/>
          <w:numId w:val="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采购人有权根据具体情况及自身业务发展的需要，对中标人提供的服务提出指导性意见。</w:t>
      </w:r>
    </w:p>
    <w:p w14:paraId="0F52E3DB">
      <w:pPr>
        <w:widowControl/>
        <w:numPr>
          <w:ilvl w:val="0"/>
          <w:numId w:val="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中标人在服务期内遵守采购人的工作标准和管理办法，自觉接受采购人的管理、指导和监督。</w:t>
      </w:r>
    </w:p>
    <w:p w14:paraId="79FC0074">
      <w:pPr>
        <w:widowControl/>
        <w:numPr>
          <w:ilvl w:val="0"/>
          <w:numId w:val="9"/>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中标人建立、妥善保管和正确使用本项目相关的各类档案资料，及时根据采购人要求按时提供相关资料及数据，并配合采购人完成各类评审、检查工作。</w:t>
      </w:r>
    </w:p>
    <w:p w14:paraId="025D4E69">
      <w:pPr>
        <w:numPr>
          <w:ilvl w:val="0"/>
          <w:numId w:val="2"/>
        </w:num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商务要求</w:t>
      </w:r>
    </w:p>
    <w:p w14:paraId="5095B19D">
      <w:pPr>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说明：带“★”指标项为关键指标，如出现负偏离，将被视为未实质性满足招标文件要求作投标无效处理。</w:t>
      </w:r>
    </w:p>
    <w:p w14:paraId="19CBB8F8">
      <w:pPr>
        <w:numPr>
          <w:ilvl w:val="0"/>
          <w:numId w:val="10"/>
        </w:numPr>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b/>
          <w:color w:val="auto"/>
          <w:sz w:val="21"/>
          <w:szCs w:val="21"/>
          <w:highlight w:val="none"/>
        </w:rPr>
        <w:t>服务期限：</w:t>
      </w:r>
      <w:r>
        <w:rPr>
          <w:rFonts w:hint="eastAsia" w:ascii="宋体" w:hAnsi="宋体" w:eastAsia="宋体" w:cs="宋体"/>
          <w:bCs/>
          <w:color w:val="auto"/>
          <w:sz w:val="21"/>
          <w:szCs w:val="21"/>
          <w:highlight w:val="none"/>
        </w:rPr>
        <w:t>1年（以合同约定日期为准）。</w:t>
      </w:r>
    </w:p>
    <w:p w14:paraId="3783BFE9">
      <w:pPr>
        <w:numPr>
          <w:ilvl w:val="255"/>
          <w:numId w:val="0"/>
        </w:numPr>
        <w:spacing w:line="360" w:lineRule="auto"/>
        <w:ind w:firstLine="420" w:firstLineChars="200"/>
        <w:rPr>
          <w:rFonts w:hint="eastAsia" w:ascii="宋体" w:hAnsi="宋体" w:eastAsia="宋体" w:cs="宋体"/>
          <w:bCs/>
          <w:color w:val="auto"/>
          <w:kern w:val="0"/>
          <w:sz w:val="21"/>
          <w:szCs w:val="21"/>
          <w:highlight w:val="none"/>
          <w:lang w:bidi="ar"/>
        </w:rPr>
      </w:pPr>
      <w:r>
        <w:rPr>
          <w:rFonts w:hint="eastAsia" w:ascii="宋体" w:hAnsi="宋体" w:eastAsia="宋体" w:cs="宋体"/>
          <w:bCs/>
          <w:color w:val="auto"/>
          <w:sz w:val="21"/>
          <w:szCs w:val="21"/>
          <w:highlight w:val="none"/>
        </w:rPr>
        <w:t>该项目为长期服务项目；本合同期满后，采购人可根据项目需要、中标人合同履约情况及相关政策、法律规定决定合同期限是否延长。若需续签，双方可按相关规定办理合同续签手续，每次续签合同期限最长1年，总服务期最长不超过3年或36个月</w:t>
      </w:r>
      <w:r>
        <w:rPr>
          <w:rFonts w:hint="eastAsia" w:ascii="宋体" w:hAnsi="宋体" w:eastAsia="宋体" w:cs="宋体"/>
          <w:bCs/>
          <w:color w:val="auto"/>
          <w:kern w:val="0"/>
          <w:sz w:val="21"/>
          <w:szCs w:val="21"/>
          <w:highlight w:val="none"/>
          <w:lang w:bidi="ar"/>
        </w:rPr>
        <w:t>。</w:t>
      </w:r>
    </w:p>
    <w:p w14:paraId="546621DD">
      <w:pPr>
        <w:numPr>
          <w:ilvl w:val="0"/>
          <w:numId w:val="10"/>
        </w:numPr>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报价要求：</w:t>
      </w:r>
    </w:p>
    <w:tbl>
      <w:tblPr>
        <w:tblStyle w:val="5"/>
        <w:tblW w:w="553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0"/>
        <w:gridCol w:w="2221"/>
        <w:gridCol w:w="2223"/>
        <w:gridCol w:w="1535"/>
      </w:tblGrid>
      <w:tr w14:paraId="762D94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832" w:type="pct"/>
            <w:tcBorders>
              <w:top w:val="double" w:color="auto" w:sz="4" w:space="0"/>
              <w:bottom w:val="single" w:color="auto" w:sz="4" w:space="0"/>
            </w:tcBorders>
            <w:vAlign w:val="center"/>
          </w:tcPr>
          <w:p w14:paraId="6D2DFB6A">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项目名称</w:t>
            </w:r>
          </w:p>
        </w:tc>
        <w:tc>
          <w:tcPr>
            <w:tcW w:w="1176" w:type="pct"/>
            <w:tcBorders>
              <w:top w:val="double" w:color="auto" w:sz="4" w:space="0"/>
              <w:bottom w:val="single" w:color="auto" w:sz="4" w:space="0"/>
            </w:tcBorders>
            <w:vAlign w:val="center"/>
          </w:tcPr>
          <w:p w14:paraId="18131370">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最高限价</w:t>
            </w:r>
          </w:p>
          <w:p w14:paraId="2EDD61F7">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color w:val="auto"/>
                <w:kern w:val="0"/>
                <w:sz w:val="21"/>
                <w:szCs w:val="21"/>
                <w:highlight w:val="none"/>
              </w:rPr>
              <w:t>（元/年）</w:t>
            </w:r>
          </w:p>
        </w:tc>
        <w:tc>
          <w:tcPr>
            <w:tcW w:w="1177" w:type="pct"/>
            <w:tcBorders>
              <w:top w:val="double" w:color="auto" w:sz="4" w:space="0"/>
              <w:bottom w:val="single" w:color="auto" w:sz="4" w:space="0"/>
            </w:tcBorders>
            <w:vAlign w:val="center"/>
          </w:tcPr>
          <w:p w14:paraId="7E0415FF">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投标总价</w:t>
            </w:r>
          </w:p>
          <w:p w14:paraId="7DCCCC99">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color w:val="auto"/>
                <w:kern w:val="0"/>
                <w:sz w:val="21"/>
                <w:szCs w:val="21"/>
                <w:highlight w:val="none"/>
              </w:rPr>
              <w:t>（元/年）</w:t>
            </w:r>
          </w:p>
        </w:tc>
        <w:tc>
          <w:tcPr>
            <w:tcW w:w="813" w:type="pct"/>
            <w:tcBorders>
              <w:top w:val="double" w:color="auto" w:sz="4" w:space="0"/>
              <w:bottom w:val="single" w:color="auto" w:sz="4" w:space="0"/>
            </w:tcBorders>
            <w:vAlign w:val="center"/>
          </w:tcPr>
          <w:p w14:paraId="34D1F841">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备注</w:t>
            </w:r>
          </w:p>
        </w:tc>
      </w:tr>
      <w:tr w14:paraId="0524EB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52" w:hRule="atLeast"/>
          <w:jc w:val="center"/>
        </w:trPr>
        <w:tc>
          <w:tcPr>
            <w:tcW w:w="1832" w:type="pct"/>
            <w:tcBorders>
              <w:top w:val="single" w:color="auto" w:sz="4" w:space="0"/>
            </w:tcBorders>
            <w:vAlign w:val="center"/>
          </w:tcPr>
          <w:p w14:paraId="4D94B625">
            <w:pPr>
              <w:jc w:val="center"/>
              <w:rPr>
                <w:rFonts w:hint="eastAsia" w:ascii="宋体" w:hAnsi="宋体" w:eastAsia="宋体" w:cs="宋体"/>
                <w:snapToGrid w:val="0"/>
                <w:color w:val="auto"/>
                <w:kern w:val="0"/>
                <w:sz w:val="21"/>
                <w:szCs w:val="21"/>
                <w:highlight w:val="none"/>
                <w:u w:val="single"/>
              </w:rPr>
            </w:pPr>
            <w:r>
              <w:rPr>
                <w:rFonts w:hint="eastAsia" w:ascii="宋体" w:hAnsi="宋体" w:eastAsia="宋体" w:cs="宋体"/>
                <w:snapToGrid w:val="0"/>
                <w:color w:val="auto"/>
                <w:kern w:val="0"/>
                <w:sz w:val="21"/>
                <w:szCs w:val="21"/>
                <w:highlight w:val="none"/>
                <w:u w:val="single"/>
              </w:rPr>
              <w:t>污水处理站运维服务项目</w:t>
            </w:r>
          </w:p>
        </w:tc>
        <w:tc>
          <w:tcPr>
            <w:tcW w:w="1176" w:type="pct"/>
            <w:tcBorders>
              <w:top w:val="single" w:color="auto" w:sz="4" w:space="0"/>
            </w:tcBorders>
            <w:vAlign w:val="center"/>
          </w:tcPr>
          <w:p w14:paraId="5D1C8EF8">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200,000.00</w:t>
            </w:r>
          </w:p>
        </w:tc>
        <w:tc>
          <w:tcPr>
            <w:tcW w:w="1177" w:type="pct"/>
            <w:tcBorders>
              <w:top w:val="single" w:color="auto" w:sz="4" w:space="0"/>
            </w:tcBorders>
            <w:vAlign w:val="center"/>
          </w:tcPr>
          <w:p w14:paraId="2BA59EA8">
            <w:pPr>
              <w:rPr>
                <w:rFonts w:hint="eastAsia" w:ascii="宋体" w:hAnsi="宋体" w:eastAsia="宋体" w:cs="宋体"/>
                <w:snapToGrid w:val="0"/>
                <w:color w:val="auto"/>
                <w:kern w:val="0"/>
                <w:sz w:val="21"/>
                <w:szCs w:val="21"/>
                <w:highlight w:val="none"/>
              </w:rPr>
            </w:pPr>
          </w:p>
        </w:tc>
        <w:tc>
          <w:tcPr>
            <w:tcW w:w="813" w:type="pct"/>
            <w:tcBorders>
              <w:top w:val="single" w:color="auto" w:sz="4" w:space="0"/>
            </w:tcBorders>
            <w:vAlign w:val="center"/>
          </w:tcPr>
          <w:p w14:paraId="0BC44F5A">
            <w:pPr>
              <w:jc w:val="center"/>
              <w:rPr>
                <w:rFonts w:hint="eastAsia" w:ascii="宋体" w:hAnsi="宋体" w:eastAsia="宋体" w:cs="宋体"/>
                <w:snapToGrid w:val="0"/>
                <w:color w:val="auto"/>
                <w:kern w:val="0"/>
                <w:sz w:val="21"/>
                <w:szCs w:val="21"/>
                <w:highlight w:val="none"/>
              </w:rPr>
            </w:pPr>
          </w:p>
        </w:tc>
      </w:tr>
    </w:tbl>
    <w:p w14:paraId="7470B20A">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226B2411">
      <w:pPr>
        <w:spacing w:line="276"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1.所有价格应按“招标文件”中规定的货币单位填写；</w:t>
      </w:r>
    </w:p>
    <w:p w14:paraId="03537287">
      <w:pPr>
        <w:spacing w:line="276"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snapToGrid w:val="0"/>
          <w:color w:val="auto"/>
          <w:kern w:val="0"/>
          <w:sz w:val="21"/>
          <w:szCs w:val="21"/>
          <w:highlight w:val="none"/>
        </w:rPr>
        <w:t>投标人如果需要对报价或其他内容加以说明，可在备注栏填写</w:t>
      </w:r>
      <w:r>
        <w:rPr>
          <w:rFonts w:hint="eastAsia" w:ascii="宋体" w:hAnsi="宋体" w:eastAsia="宋体" w:cs="宋体"/>
          <w:color w:val="auto"/>
          <w:sz w:val="21"/>
          <w:szCs w:val="21"/>
          <w:highlight w:val="none"/>
        </w:rPr>
        <w:t>；</w:t>
      </w:r>
    </w:p>
    <w:p w14:paraId="335D4A0F">
      <w:pPr>
        <w:spacing w:line="276"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3.投标总价不得超过对应的财政预算限额，否则将导致投标无效。</w:t>
      </w:r>
    </w:p>
    <w:p w14:paraId="1CEEF0F4">
      <w:pPr>
        <w:spacing w:line="276"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4.《分项报价表》的投标总价应与开标一览表的投标报价一致。投标人根据项目需求对分项报价表的每月报价、年度报价进行填写。</w:t>
      </w:r>
    </w:p>
    <w:tbl>
      <w:tblPr>
        <w:tblStyle w:val="5"/>
        <w:tblW w:w="6213"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4"/>
        <w:gridCol w:w="1741"/>
        <w:gridCol w:w="1779"/>
        <w:gridCol w:w="1779"/>
        <w:gridCol w:w="1794"/>
        <w:gridCol w:w="2122"/>
      </w:tblGrid>
      <w:tr w14:paraId="1ED228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tblHeader/>
          <w:jc w:val="center"/>
        </w:trPr>
        <w:tc>
          <w:tcPr>
            <w:tcW w:w="649" w:type="pct"/>
            <w:tcBorders>
              <w:top w:val="double" w:color="auto" w:sz="4" w:space="0"/>
              <w:bottom w:val="single" w:color="auto" w:sz="4" w:space="0"/>
            </w:tcBorders>
            <w:vAlign w:val="center"/>
          </w:tcPr>
          <w:p w14:paraId="159E8068">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序号</w:t>
            </w:r>
          </w:p>
        </w:tc>
        <w:tc>
          <w:tcPr>
            <w:tcW w:w="822" w:type="pct"/>
            <w:tcBorders>
              <w:top w:val="double" w:color="auto" w:sz="4" w:space="0"/>
              <w:bottom w:val="single" w:color="auto" w:sz="4" w:space="0"/>
            </w:tcBorders>
            <w:vAlign w:val="center"/>
          </w:tcPr>
          <w:p w14:paraId="7CB0DF5C">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项目</w:t>
            </w:r>
          </w:p>
        </w:tc>
        <w:tc>
          <w:tcPr>
            <w:tcW w:w="840" w:type="pct"/>
            <w:tcBorders>
              <w:top w:val="double" w:color="auto" w:sz="4" w:space="0"/>
              <w:bottom w:val="single" w:color="auto" w:sz="4" w:space="0"/>
            </w:tcBorders>
            <w:vAlign w:val="center"/>
          </w:tcPr>
          <w:p w14:paraId="2875B480">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频次（年）</w:t>
            </w:r>
          </w:p>
        </w:tc>
        <w:tc>
          <w:tcPr>
            <w:tcW w:w="840" w:type="pct"/>
            <w:tcBorders>
              <w:top w:val="double" w:color="auto" w:sz="4" w:space="0"/>
              <w:bottom w:val="single" w:color="auto" w:sz="4" w:space="0"/>
            </w:tcBorders>
            <w:vAlign w:val="center"/>
          </w:tcPr>
          <w:p w14:paraId="469A5184">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每月报价（元）</w:t>
            </w:r>
          </w:p>
        </w:tc>
        <w:tc>
          <w:tcPr>
            <w:tcW w:w="847" w:type="pct"/>
            <w:tcBorders>
              <w:top w:val="double" w:color="auto" w:sz="4" w:space="0"/>
              <w:bottom w:val="single" w:color="auto" w:sz="4" w:space="0"/>
            </w:tcBorders>
            <w:vAlign w:val="center"/>
          </w:tcPr>
          <w:p w14:paraId="29360594">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年度报价（元）</w:t>
            </w:r>
          </w:p>
        </w:tc>
        <w:tc>
          <w:tcPr>
            <w:tcW w:w="1002" w:type="pct"/>
            <w:tcBorders>
              <w:top w:val="double" w:color="auto" w:sz="4" w:space="0"/>
              <w:bottom w:val="single" w:color="auto" w:sz="4" w:space="0"/>
            </w:tcBorders>
            <w:vAlign w:val="center"/>
          </w:tcPr>
          <w:p w14:paraId="1880C354">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备注</w:t>
            </w:r>
          </w:p>
        </w:tc>
      </w:tr>
      <w:tr w14:paraId="19ACB7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52" w:hRule="atLeast"/>
          <w:jc w:val="center"/>
        </w:trPr>
        <w:tc>
          <w:tcPr>
            <w:tcW w:w="649" w:type="pct"/>
            <w:tcBorders>
              <w:top w:val="single" w:color="auto" w:sz="4" w:space="0"/>
              <w:bottom w:val="single" w:color="auto" w:sz="4" w:space="0"/>
            </w:tcBorders>
            <w:vAlign w:val="center"/>
          </w:tcPr>
          <w:p w14:paraId="7F70949F">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822" w:type="pct"/>
            <w:tcBorders>
              <w:top w:val="single" w:color="auto" w:sz="4" w:space="0"/>
              <w:bottom w:val="single" w:color="auto" w:sz="4" w:space="0"/>
            </w:tcBorders>
            <w:vAlign w:val="center"/>
          </w:tcPr>
          <w:p w14:paraId="1D02950B">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项目驻点人员配置（含人员劳保费用）</w:t>
            </w:r>
          </w:p>
        </w:tc>
        <w:tc>
          <w:tcPr>
            <w:tcW w:w="840" w:type="pct"/>
            <w:tcBorders>
              <w:top w:val="single" w:color="auto" w:sz="4" w:space="0"/>
              <w:bottom w:val="single" w:color="auto" w:sz="4" w:space="0"/>
            </w:tcBorders>
            <w:vAlign w:val="center"/>
          </w:tcPr>
          <w:p w14:paraId="071C9573">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840" w:type="pct"/>
            <w:tcBorders>
              <w:top w:val="single" w:color="auto" w:sz="4" w:space="0"/>
              <w:bottom w:val="single" w:color="auto" w:sz="4" w:space="0"/>
            </w:tcBorders>
            <w:vAlign w:val="center"/>
          </w:tcPr>
          <w:p w14:paraId="6E9E1712">
            <w:pPr>
              <w:jc w:val="center"/>
              <w:rPr>
                <w:rFonts w:hint="eastAsia" w:ascii="宋体" w:hAnsi="宋体" w:eastAsia="宋体" w:cs="宋体"/>
                <w:snapToGrid w:val="0"/>
                <w:color w:val="auto"/>
                <w:kern w:val="0"/>
                <w:sz w:val="21"/>
                <w:szCs w:val="21"/>
                <w:highlight w:val="none"/>
              </w:rPr>
            </w:pPr>
          </w:p>
        </w:tc>
        <w:tc>
          <w:tcPr>
            <w:tcW w:w="847" w:type="pct"/>
            <w:tcBorders>
              <w:top w:val="single" w:color="auto" w:sz="4" w:space="0"/>
              <w:bottom w:val="single" w:color="auto" w:sz="4" w:space="0"/>
            </w:tcBorders>
            <w:vAlign w:val="center"/>
          </w:tcPr>
          <w:p w14:paraId="41E7F384">
            <w:pPr>
              <w:jc w:val="center"/>
              <w:rPr>
                <w:rFonts w:hint="eastAsia" w:ascii="宋体" w:hAnsi="宋体" w:eastAsia="宋体" w:cs="宋体"/>
                <w:snapToGrid w:val="0"/>
                <w:color w:val="auto"/>
                <w:kern w:val="0"/>
                <w:sz w:val="21"/>
                <w:szCs w:val="21"/>
                <w:highlight w:val="none"/>
              </w:rPr>
            </w:pPr>
          </w:p>
        </w:tc>
        <w:tc>
          <w:tcPr>
            <w:tcW w:w="1002" w:type="pct"/>
            <w:tcBorders>
              <w:top w:val="single" w:color="auto" w:sz="4" w:space="0"/>
              <w:bottom w:val="single" w:color="auto" w:sz="4" w:space="0"/>
            </w:tcBorders>
            <w:vAlign w:val="center"/>
          </w:tcPr>
          <w:p w14:paraId="7A75F108">
            <w:pP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人员要求详见项目需求3.项目人员要求</w:t>
            </w:r>
          </w:p>
        </w:tc>
      </w:tr>
      <w:tr w14:paraId="6A1B31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52" w:hRule="atLeast"/>
          <w:jc w:val="center"/>
        </w:trPr>
        <w:tc>
          <w:tcPr>
            <w:tcW w:w="649" w:type="pct"/>
            <w:tcBorders>
              <w:top w:val="single" w:color="auto" w:sz="4" w:space="0"/>
              <w:bottom w:val="single" w:color="auto" w:sz="4" w:space="0"/>
            </w:tcBorders>
            <w:vAlign w:val="center"/>
          </w:tcPr>
          <w:p w14:paraId="11FCB33D">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822" w:type="pct"/>
            <w:tcBorders>
              <w:top w:val="single" w:color="auto" w:sz="4" w:space="0"/>
              <w:bottom w:val="single" w:color="auto" w:sz="4" w:space="0"/>
            </w:tcBorders>
            <w:shd w:val="clear" w:color="auto" w:fill="auto"/>
            <w:vAlign w:val="center"/>
          </w:tcPr>
          <w:p w14:paraId="2674D5DF">
            <w:pPr>
              <w:pStyle w:val="4"/>
              <w:widowControl/>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污水处理站日常运行维护费用</w:t>
            </w:r>
          </w:p>
        </w:tc>
        <w:tc>
          <w:tcPr>
            <w:tcW w:w="840" w:type="pct"/>
            <w:tcBorders>
              <w:top w:val="single" w:color="auto" w:sz="4" w:space="0"/>
              <w:bottom w:val="single" w:color="auto" w:sz="4" w:space="0"/>
            </w:tcBorders>
            <w:vAlign w:val="center"/>
          </w:tcPr>
          <w:p w14:paraId="6B3D9404">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840" w:type="pct"/>
            <w:tcBorders>
              <w:top w:val="single" w:color="auto" w:sz="4" w:space="0"/>
              <w:bottom w:val="single" w:color="auto" w:sz="4" w:space="0"/>
            </w:tcBorders>
            <w:vAlign w:val="center"/>
          </w:tcPr>
          <w:p w14:paraId="34644CA6">
            <w:pPr>
              <w:jc w:val="center"/>
              <w:rPr>
                <w:rFonts w:hint="eastAsia" w:ascii="宋体" w:hAnsi="宋体" w:eastAsia="宋体" w:cs="宋体"/>
                <w:snapToGrid w:val="0"/>
                <w:color w:val="auto"/>
                <w:kern w:val="0"/>
                <w:sz w:val="21"/>
                <w:szCs w:val="21"/>
                <w:highlight w:val="none"/>
              </w:rPr>
            </w:pPr>
          </w:p>
        </w:tc>
        <w:tc>
          <w:tcPr>
            <w:tcW w:w="847" w:type="pct"/>
            <w:tcBorders>
              <w:top w:val="single" w:color="auto" w:sz="4" w:space="0"/>
              <w:bottom w:val="single" w:color="auto" w:sz="4" w:space="0"/>
            </w:tcBorders>
            <w:vAlign w:val="center"/>
          </w:tcPr>
          <w:p w14:paraId="06DD4510">
            <w:pPr>
              <w:jc w:val="center"/>
              <w:rPr>
                <w:rFonts w:hint="eastAsia" w:ascii="宋体" w:hAnsi="宋体" w:eastAsia="宋体" w:cs="宋体"/>
                <w:snapToGrid w:val="0"/>
                <w:color w:val="auto"/>
                <w:kern w:val="0"/>
                <w:sz w:val="21"/>
                <w:szCs w:val="21"/>
                <w:highlight w:val="none"/>
              </w:rPr>
            </w:pPr>
          </w:p>
        </w:tc>
        <w:tc>
          <w:tcPr>
            <w:tcW w:w="1002" w:type="pct"/>
            <w:tcBorders>
              <w:top w:val="single" w:color="auto" w:sz="4" w:space="0"/>
              <w:bottom w:val="single" w:color="auto" w:sz="4" w:space="0"/>
            </w:tcBorders>
            <w:vAlign w:val="center"/>
          </w:tcPr>
          <w:p w14:paraId="71AF3899">
            <w:pP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包含设备维修、污水处理消毒试剂、药剂、耗材等相关费用</w:t>
            </w:r>
          </w:p>
        </w:tc>
      </w:tr>
      <w:tr w14:paraId="201161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52" w:hRule="atLeast"/>
          <w:jc w:val="center"/>
        </w:trPr>
        <w:tc>
          <w:tcPr>
            <w:tcW w:w="649" w:type="pct"/>
            <w:tcBorders>
              <w:top w:val="single" w:color="auto" w:sz="4" w:space="0"/>
              <w:bottom w:val="single" w:color="auto" w:sz="4" w:space="0"/>
            </w:tcBorders>
            <w:vAlign w:val="center"/>
          </w:tcPr>
          <w:p w14:paraId="5C0C0C8E">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822" w:type="pct"/>
            <w:tcBorders>
              <w:top w:val="single" w:color="auto" w:sz="4" w:space="0"/>
              <w:bottom w:val="single" w:color="auto" w:sz="4" w:space="0"/>
            </w:tcBorders>
            <w:shd w:val="clear" w:color="auto" w:fill="auto"/>
            <w:vAlign w:val="center"/>
          </w:tcPr>
          <w:p w14:paraId="554A8418">
            <w:pPr>
              <w:pStyle w:val="4"/>
              <w:widowControl/>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危险废弃物处置</w:t>
            </w:r>
          </w:p>
        </w:tc>
        <w:tc>
          <w:tcPr>
            <w:tcW w:w="840" w:type="pct"/>
            <w:tcBorders>
              <w:top w:val="single" w:color="auto" w:sz="4" w:space="0"/>
              <w:bottom w:val="single" w:color="auto" w:sz="4" w:space="0"/>
            </w:tcBorders>
            <w:vAlign w:val="center"/>
          </w:tcPr>
          <w:p w14:paraId="26BA64C3">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840" w:type="pct"/>
            <w:tcBorders>
              <w:top w:val="single" w:color="auto" w:sz="4" w:space="0"/>
              <w:bottom w:val="single" w:color="auto" w:sz="4" w:space="0"/>
            </w:tcBorders>
            <w:vAlign w:val="center"/>
          </w:tcPr>
          <w:p w14:paraId="57B850B9">
            <w:pPr>
              <w:jc w:val="center"/>
              <w:rPr>
                <w:rFonts w:hint="eastAsia" w:ascii="宋体" w:hAnsi="宋体" w:eastAsia="宋体" w:cs="宋体"/>
                <w:snapToGrid w:val="0"/>
                <w:color w:val="auto"/>
                <w:kern w:val="0"/>
                <w:sz w:val="21"/>
                <w:szCs w:val="21"/>
                <w:highlight w:val="none"/>
              </w:rPr>
            </w:pPr>
          </w:p>
        </w:tc>
        <w:tc>
          <w:tcPr>
            <w:tcW w:w="847" w:type="pct"/>
            <w:tcBorders>
              <w:top w:val="single" w:color="auto" w:sz="4" w:space="0"/>
              <w:bottom w:val="single" w:color="auto" w:sz="4" w:space="0"/>
            </w:tcBorders>
            <w:vAlign w:val="center"/>
          </w:tcPr>
          <w:p w14:paraId="54FDB8C6">
            <w:pPr>
              <w:jc w:val="center"/>
              <w:rPr>
                <w:rFonts w:hint="eastAsia" w:ascii="宋体" w:hAnsi="宋体" w:eastAsia="宋体" w:cs="宋体"/>
                <w:snapToGrid w:val="0"/>
                <w:color w:val="auto"/>
                <w:kern w:val="0"/>
                <w:sz w:val="21"/>
                <w:szCs w:val="21"/>
                <w:highlight w:val="none"/>
              </w:rPr>
            </w:pPr>
          </w:p>
        </w:tc>
        <w:tc>
          <w:tcPr>
            <w:tcW w:w="1002" w:type="pct"/>
            <w:tcBorders>
              <w:top w:val="single" w:color="auto" w:sz="4" w:space="0"/>
              <w:bottom w:val="single" w:color="auto" w:sz="4" w:space="0"/>
            </w:tcBorders>
            <w:vAlign w:val="center"/>
          </w:tcPr>
          <w:p w14:paraId="24A66F87">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每半年清运1次或废弃物产生量大时按需清理</w:t>
            </w:r>
          </w:p>
        </w:tc>
      </w:tr>
      <w:tr w14:paraId="4EEDF2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jc w:val="center"/>
        </w:trPr>
        <w:tc>
          <w:tcPr>
            <w:tcW w:w="649" w:type="pct"/>
            <w:vMerge w:val="restart"/>
          </w:tcPr>
          <w:p w14:paraId="1A632618">
            <w:pP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投标人为完成本项目运维合同自认为需要增加的维保项目及单价</w:t>
            </w:r>
          </w:p>
        </w:tc>
        <w:tc>
          <w:tcPr>
            <w:tcW w:w="822" w:type="pct"/>
            <w:shd w:val="clear" w:color="auto" w:fill="auto"/>
            <w:vAlign w:val="center"/>
          </w:tcPr>
          <w:p w14:paraId="68B93804">
            <w:pPr>
              <w:pStyle w:val="4"/>
              <w:widowControl/>
              <w:rPr>
                <w:rFonts w:hint="eastAsia" w:ascii="宋体" w:hAnsi="宋体" w:eastAsia="宋体" w:cs="宋体"/>
                <w:color w:val="auto"/>
                <w:sz w:val="21"/>
                <w:szCs w:val="21"/>
                <w:highlight w:val="none"/>
              </w:rPr>
            </w:pPr>
          </w:p>
        </w:tc>
        <w:tc>
          <w:tcPr>
            <w:tcW w:w="840" w:type="pct"/>
          </w:tcPr>
          <w:p w14:paraId="24A6CE5E">
            <w:pPr>
              <w:jc w:val="center"/>
              <w:rPr>
                <w:rFonts w:hint="eastAsia" w:ascii="宋体" w:hAnsi="宋体" w:eastAsia="宋体" w:cs="宋体"/>
                <w:snapToGrid w:val="0"/>
                <w:color w:val="auto"/>
                <w:kern w:val="0"/>
                <w:sz w:val="21"/>
                <w:szCs w:val="21"/>
                <w:highlight w:val="none"/>
              </w:rPr>
            </w:pPr>
          </w:p>
        </w:tc>
        <w:tc>
          <w:tcPr>
            <w:tcW w:w="840" w:type="pct"/>
          </w:tcPr>
          <w:p w14:paraId="2E47A89E">
            <w:pPr>
              <w:jc w:val="center"/>
              <w:rPr>
                <w:rFonts w:hint="eastAsia" w:ascii="宋体" w:hAnsi="宋体" w:eastAsia="宋体" w:cs="宋体"/>
                <w:snapToGrid w:val="0"/>
                <w:color w:val="auto"/>
                <w:kern w:val="0"/>
                <w:sz w:val="21"/>
                <w:szCs w:val="21"/>
                <w:highlight w:val="none"/>
              </w:rPr>
            </w:pPr>
          </w:p>
        </w:tc>
        <w:tc>
          <w:tcPr>
            <w:tcW w:w="847" w:type="pct"/>
          </w:tcPr>
          <w:p w14:paraId="0E1C7F48">
            <w:pPr>
              <w:jc w:val="center"/>
              <w:rPr>
                <w:rFonts w:hint="eastAsia" w:ascii="宋体" w:hAnsi="宋体" w:eastAsia="宋体" w:cs="宋体"/>
                <w:snapToGrid w:val="0"/>
                <w:color w:val="auto"/>
                <w:kern w:val="0"/>
                <w:sz w:val="21"/>
                <w:szCs w:val="21"/>
                <w:highlight w:val="none"/>
              </w:rPr>
            </w:pPr>
          </w:p>
        </w:tc>
        <w:tc>
          <w:tcPr>
            <w:tcW w:w="1002" w:type="pct"/>
          </w:tcPr>
          <w:p w14:paraId="764BA460">
            <w:pPr>
              <w:jc w:val="center"/>
              <w:rPr>
                <w:rFonts w:hint="eastAsia" w:ascii="宋体" w:hAnsi="宋体" w:eastAsia="宋体" w:cs="宋体"/>
                <w:snapToGrid w:val="0"/>
                <w:color w:val="auto"/>
                <w:kern w:val="0"/>
                <w:sz w:val="21"/>
                <w:szCs w:val="21"/>
                <w:highlight w:val="none"/>
              </w:rPr>
            </w:pPr>
          </w:p>
        </w:tc>
      </w:tr>
      <w:tr w14:paraId="5F0CD4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649" w:type="pct"/>
            <w:vMerge w:val="continue"/>
          </w:tcPr>
          <w:p w14:paraId="196BF49B">
            <w:pPr>
              <w:jc w:val="center"/>
              <w:rPr>
                <w:rFonts w:hint="eastAsia" w:ascii="宋体" w:hAnsi="宋体" w:eastAsia="宋体" w:cs="宋体"/>
                <w:b/>
                <w:bCs/>
                <w:snapToGrid w:val="0"/>
                <w:color w:val="auto"/>
                <w:kern w:val="0"/>
                <w:sz w:val="21"/>
                <w:szCs w:val="21"/>
                <w:highlight w:val="none"/>
              </w:rPr>
            </w:pPr>
          </w:p>
        </w:tc>
        <w:tc>
          <w:tcPr>
            <w:tcW w:w="822" w:type="pct"/>
            <w:shd w:val="clear" w:color="auto" w:fill="auto"/>
            <w:vAlign w:val="center"/>
          </w:tcPr>
          <w:p w14:paraId="5D9398E7">
            <w:pPr>
              <w:pStyle w:val="4"/>
              <w:widowControl/>
              <w:rPr>
                <w:rFonts w:hint="eastAsia" w:ascii="宋体" w:hAnsi="宋体" w:eastAsia="宋体" w:cs="宋体"/>
                <w:color w:val="auto"/>
                <w:sz w:val="21"/>
                <w:szCs w:val="21"/>
                <w:highlight w:val="none"/>
              </w:rPr>
            </w:pPr>
          </w:p>
        </w:tc>
        <w:tc>
          <w:tcPr>
            <w:tcW w:w="840" w:type="pct"/>
          </w:tcPr>
          <w:p w14:paraId="025DB169">
            <w:pPr>
              <w:jc w:val="center"/>
              <w:rPr>
                <w:rFonts w:hint="eastAsia" w:ascii="宋体" w:hAnsi="宋体" w:eastAsia="宋体" w:cs="宋体"/>
                <w:snapToGrid w:val="0"/>
                <w:color w:val="auto"/>
                <w:kern w:val="0"/>
                <w:sz w:val="21"/>
                <w:szCs w:val="21"/>
                <w:highlight w:val="none"/>
              </w:rPr>
            </w:pPr>
          </w:p>
        </w:tc>
        <w:tc>
          <w:tcPr>
            <w:tcW w:w="840" w:type="pct"/>
          </w:tcPr>
          <w:p w14:paraId="5F6BB44D">
            <w:pPr>
              <w:jc w:val="center"/>
              <w:rPr>
                <w:rFonts w:hint="eastAsia" w:ascii="宋体" w:hAnsi="宋体" w:eastAsia="宋体" w:cs="宋体"/>
                <w:snapToGrid w:val="0"/>
                <w:color w:val="auto"/>
                <w:kern w:val="0"/>
                <w:sz w:val="21"/>
                <w:szCs w:val="21"/>
                <w:highlight w:val="none"/>
              </w:rPr>
            </w:pPr>
          </w:p>
        </w:tc>
        <w:tc>
          <w:tcPr>
            <w:tcW w:w="847" w:type="pct"/>
          </w:tcPr>
          <w:p w14:paraId="41F0DFCB">
            <w:pPr>
              <w:jc w:val="center"/>
              <w:rPr>
                <w:rFonts w:hint="eastAsia" w:ascii="宋体" w:hAnsi="宋体" w:eastAsia="宋体" w:cs="宋体"/>
                <w:snapToGrid w:val="0"/>
                <w:color w:val="auto"/>
                <w:kern w:val="0"/>
                <w:sz w:val="21"/>
                <w:szCs w:val="21"/>
                <w:highlight w:val="none"/>
              </w:rPr>
            </w:pPr>
          </w:p>
        </w:tc>
        <w:tc>
          <w:tcPr>
            <w:tcW w:w="1002" w:type="pct"/>
          </w:tcPr>
          <w:p w14:paraId="50C635DA">
            <w:pPr>
              <w:jc w:val="center"/>
              <w:rPr>
                <w:rFonts w:hint="eastAsia" w:ascii="宋体" w:hAnsi="宋体" w:eastAsia="宋体" w:cs="宋体"/>
                <w:snapToGrid w:val="0"/>
                <w:color w:val="auto"/>
                <w:kern w:val="0"/>
                <w:sz w:val="21"/>
                <w:szCs w:val="21"/>
                <w:highlight w:val="none"/>
              </w:rPr>
            </w:pPr>
          </w:p>
        </w:tc>
      </w:tr>
      <w:tr w14:paraId="26B6E1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26" w:hRule="atLeast"/>
          <w:jc w:val="center"/>
        </w:trPr>
        <w:tc>
          <w:tcPr>
            <w:tcW w:w="649" w:type="pct"/>
            <w:vMerge w:val="continue"/>
          </w:tcPr>
          <w:p w14:paraId="0A40DFFC">
            <w:pPr>
              <w:jc w:val="center"/>
              <w:rPr>
                <w:rFonts w:hint="eastAsia" w:ascii="宋体" w:hAnsi="宋体" w:eastAsia="宋体" w:cs="宋体"/>
                <w:b/>
                <w:bCs/>
                <w:snapToGrid w:val="0"/>
                <w:color w:val="auto"/>
                <w:kern w:val="0"/>
                <w:sz w:val="21"/>
                <w:szCs w:val="21"/>
                <w:highlight w:val="none"/>
              </w:rPr>
            </w:pPr>
          </w:p>
        </w:tc>
        <w:tc>
          <w:tcPr>
            <w:tcW w:w="822" w:type="pct"/>
            <w:shd w:val="clear" w:color="auto" w:fill="auto"/>
            <w:vAlign w:val="center"/>
          </w:tcPr>
          <w:p w14:paraId="75DD83D6">
            <w:pPr>
              <w:pStyle w:val="4"/>
              <w:widowControl/>
              <w:rPr>
                <w:rFonts w:hint="eastAsia" w:ascii="宋体" w:hAnsi="宋体" w:eastAsia="宋体" w:cs="宋体"/>
                <w:color w:val="auto"/>
                <w:sz w:val="21"/>
                <w:szCs w:val="21"/>
                <w:highlight w:val="none"/>
              </w:rPr>
            </w:pPr>
          </w:p>
        </w:tc>
        <w:tc>
          <w:tcPr>
            <w:tcW w:w="840" w:type="pct"/>
          </w:tcPr>
          <w:p w14:paraId="4E1798E9">
            <w:pPr>
              <w:jc w:val="center"/>
              <w:rPr>
                <w:rFonts w:hint="eastAsia" w:ascii="宋体" w:hAnsi="宋体" w:eastAsia="宋体" w:cs="宋体"/>
                <w:snapToGrid w:val="0"/>
                <w:color w:val="auto"/>
                <w:kern w:val="0"/>
                <w:sz w:val="21"/>
                <w:szCs w:val="21"/>
                <w:highlight w:val="none"/>
              </w:rPr>
            </w:pPr>
          </w:p>
        </w:tc>
        <w:tc>
          <w:tcPr>
            <w:tcW w:w="840" w:type="pct"/>
          </w:tcPr>
          <w:p w14:paraId="7A51F955">
            <w:pPr>
              <w:jc w:val="center"/>
              <w:rPr>
                <w:rFonts w:hint="eastAsia" w:ascii="宋体" w:hAnsi="宋体" w:eastAsia="宋体" w:cs="宋体"/>
                <w:snapToGrid w:val="0"/>
                <w:color w:val="auto"/>
                <w:kern w:val="0"/>
                <w:sz w:val="21"/>
                <w:szCs w:val="21"/>
                <w:highlight w:val="none"/>
              </w:rPr>
            </w:pPr>
          </w:p>
        </w:tc>
        <w:tc>
          <w:tcPr>
            <w:tcW w:w="847" w:type="pct"/>
          </w:tcPr>
          <w:p w14:paraId="35D73827">
            <w:pPr>
              <w:jc w:val="center"/>
              <w:rPr>
                <w:rFonts w:hint="eastAsia" w:ascii="宋体" w:hAnsi="宋体" w:eastAsia="宋体" w:cs="宋体"/>
                <w:snapToGrid w:val="0"/>
                <w:color w:val="auto"/>
                <w:kern w:val="0"/>
                <w:sz w:val="21"/>
                <w:szCs w:val="21"/>
                <w:highlight w:val="none"/>
              </w:rPr>
            </w:pPr>
          </w:p>
        </w:tc>
        <w:tc>
          <w:tcPr>
            <w:tcW w:w="1002" w:type="pct"/>
          </w:tcPr>
          <w:p w14:paraId="1C91F6D4">
            <w:pPr>
              <w:jc w:val="center"/>
              <w:rPr>
                <w:rFonts w:hint="eastAsia" w:ascii="宋体" w:hAnsi="宋体" w:eastAsia="宋体" w:cs="宋体"/>
                <w:snapToGrid w:val="0"/>
                <w:color w:val="auto"/>
                <w:kern w:val="0"/>
                <w:sz w:val="21"/>
                <w:szCs w:val="21"/>
                <w:highlight w:val="none"/>
              </w:rPr>
            </w:pPr>
          </w:p>
        </w:tc>
      </w:tr>
      <w:tr w14:paraId="7A23D3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649" w:type="pct"/>
          </w:tcPr>
          <w:p w14:paraId="50F5FE6F">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总价合计</w:t>
            </w:r>
          </w:p>
        </w:tc>
        <w:tc>
          <w:tcPr>
            <w:tcW w:w="822" w:type="pct"/>
            <w:shd w:val="clear" w:color="auto" w:fill="auto"/>
            <w:vAlign w:val="center"/>
          </w:tcPr>
          <w:p w14:paraId="082EC9BC">
            <w:pPr>
              <w:pStyle w:val="4"/>
              <w:widowControl/>
              <w:rPr>
                <w:rFonts w:hint="eastAsia" w:ascii="宋体" w:hAnsi="宋体" w:eastAsia="宋体" w:cs="宋体"/>
                <w:color w:val="auto"/>
                <w:sz w:val="21"/>
                <w:szCs w:val="21"/>
                <w:highlight w:val="none"/>
              </w:rPr>
            </w:pPr>
          </w:p>
        </w:tc>
        <w:tc>
          <w:tcPr>
            <w:tcW w:w="840" w:type="pct"/>
          </w:tcPr>
          <w:p w14:paraId="05FDE9DF">
            <w:pPr>
              <w:jc w:val="center"/>
              <w:rPr>
                <w:rFonts w:hint="eastAsia" w:ascii="宋体" w:hAnsi="宋体" w:eastAsia="宋体" w:cs="宋体"/>
                <w:snapToGrid w:val="0"/>
                <w:color w:val="auto"/>
                <w:kern w:val="0"/>
                <w:sz w:val="21"/>
                <w:szCs w:val="21"/>
                <w:highlight w:val="none"/>
              </w:rPr>
            </w:pPr>
          </w:p>
        </w:tc>
        <w:tc>
          <w:tcPr>
            <w:tcW w:w="840" w:type="pct"/>
          </w:tcPr>
          <w:p w14:paraId="7901C8CE">
            <w:pPr>
              <w:jc w:val="center"/>
              <w:rPr>
                <w:rFonts w:hint="eastAsia" w:ascii="宋体" w:hAnsi="宋体" w:eastAsia="宋体" w:cs="宋体"/>
                <w:snapToGrid w:val="0"/>
                <w:color w:val="auto"/>
                <w:kern w:val="0"/>
                <w:sz w:val="21"/>
                <w:szCs w:val="21"/>
                <w:highlight w:val="none"/>
              </w:rPr>
            </w:pPr>
          </w:p>
        </w:tc>
        <w:tc>
          <w:tcPr>
            <w:tcW w:w="847" w:type="pct"/>
          </w:tcPr>
          <w:p w14:paraId="54817AE6">
            <w:pPr>
              <w:jc w:val="center"/>
              <w:rPr>
                <w:rFonts w:hint="eastAsia" w:ascii="宋体" w:hAnsi="宋体" w:eastAsia="宋体" w:cs="宋体"/>
                <w:snapToGrid w:val="0"/>
                <w:color w:val="auto"/>
                <w:kern w:val="0"/>
                <w:sz w:val="21"/>
                <w:szCs w:val="21"/>
                <w:highlight w:val="none"/>
              </w:rPr>
            </w:pPr>
          </w:p>
        </w:tc>
        <w:tc>
          <w:tcPr>
            <w:tcW w:w="1002" w:type="pct"/>
          </w:tcPr>
          <w:p w14:paraId="0654B156">
            <w:pPr>
              <w:jc w:val="center"/>
              <w:rPr>
                <w:rFonts w:hint="eastAsia" w:ascii="宋体" w:hAnsi="宋体" w:eastAsia="宋体" w:cs="宋体"/>
                <w:snapToGrid w:val="0"/>
                <w:color w:val="auto"/>
                <w:kern w:val="0"/>
                <w:sz w:val="21"/>
                <w:szCs w:val="21"/>
                <w:highlight w:val="none"/>
              </w:rPr>
            </w:pPr>
          </w:p>
        </w:tc>
      </w:tr>
    </w:tbl>
    <w:p w14:paraId="4B6E57D6">
      <w:pPr>
        <w:pStyle w:val="3"/>
        <w:rPr>
          <w:rFonts w:hint="eastAsia" w:ascii="宋体" w:hAnsi="宋体" w:eastAsia="宋体" w:cs="宋体"/>
          <w:color w:val="auto"/>
          <w:sz w:val="21"/>
          <w:szCs w:val="21"/>
          <w:highlight w:val="none"/>
        </w:rPr>
      </w:pPr>
    </w:p>
    <w:p w14:paraId="632C9A5C">
      <w:pPr>
        <w:spacing w:line="276"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5.项目费用包含污水运维期间人员工资、保底污水处理量的药品、污水提升泵的维护、采购及应急事件处理、污水站设备维修材料费（单价1000元以下）等污水运维期间一切费用。</w:t>
      </w:r>
    </w:p>
    <w:p w14:paraId="412AB1A9">
      <w:pPr>
        <w:numPr>
          <w:ilvl w:val="0"/>
          <w:numId w:val="10"/>
        </w:numPr>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费用结算方式：</w:t>
      </w:r>
    </w:p>
    <w:p w14:paraId="1DEE6C00">
      <w:pPr>
        <w:widowControl/>
        <w:numPr>
          <w:ilvl w:val="0"/>
          <w:numId w:val="11"/>
        </w:numPr>
        <w:spacing w:line="360" w:lineRule="auto"/>
        <w:ind w:firstLine="480"/>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sz w:val="21"/>
          <w:szCs w:val="21"/>
          <w:highlight w:val="none"/>
        </w:rPr>
        <w:t>采购人每3个月根据中标费用、服务质量考核结果据实结算。中标人每3个月提供污水处理站运维外包服务项目相关支付资料，提交采购人审核，遇节假日顺延；审核无误后，采购人在收到中标人正规发票10个工作日内支付。</w:t>
      </w:r>
    </w:p>
    <w:p w14:paraId="5EB1FA0A">
      <w:pPr>
        <w:widowControl/>
        <w:numPr>
          <w:ilvl w:val="0"/>
          <w:numId w:val="11"/>
        </w:numPr>
        <w:spacing w:line="360" w:lineRule="auto"/>
        <w:ind w:firstLine="480"/>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sz w:val="21"/>
          <w:szCs w:val="21"/>
          <w:highlight w:val="none"/>
        </w:rPr>
        <w:t>招标文件明确规定由采购人承担的费用外，为履行合同义务支出的一切费用均由中标人承担，采购人不再给予中标人任何名目的费用或任何形式的补贴。</w:t>
      </w:r>
    </w:p>
    <w:p w14:paraId="6CD23AC1">
      <w:pPr>
        <w:numPr>
          <w:ilvl w:val="0"/>
          <w:numId w:val="10"/>
        </w:numPr>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质量考核验收标准及违约金：</w:t>
      </w:r>
    </w:p>
    <w:p w14:paraId="5824F83F">
      <w:pPr>
        <w:widowControl/>
        <w:numPr>
          <w:ilvl w:val="0"/>
          <w:numId w:val="12"/>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采购人定期或不定期对中标人的日常服务进行检查，对不符合管理要求的，责令中标人限期整改；对超过整改期限，无法有效落实整改的，采购人将按照考核标准进行扣分。</w:t>
      </w:r>
    </w:p>
    <w:p w14:paraId="1D5465BA">
      <w:pPr>
        <w:widowControl/>
        <w:numPr>
          <w:ilvl w:val="0"/>
          <w:numId w:val="12"/>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采购人每3个月根据中标人的日常服务质量、检查情况等综合考核后填写《医院污水处理站运维服务考核评分》，如履约期间采购人对考核标准进行修订的，以最新修订的为准。</w:t>
      </w:r>
    </w:p>
    <w:p w14:paraId="2FBFEE8A">
      <w:pPr>
        <w:widowControl/>
        <w:numPr>
          <w:ilvl w:val="0"/>
          <w:numId w:val="12"/>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3个月污水处理站运维外包服务费用根据考核情况据实结算：考核总分数100分，考核分数达到90分或以上的，视为考核结果“合格”，100%支付当月服务费用；未达90分则为“不合格”，每低1分按1%的比例扣减当月的服务费用。如果一年之中累计三个月考核评分在90分以下，采购人有权终止项目服务合同，重新组织招标。终止合同后根据其每3个月考核的实际得分结清款项，其他与本项目有关的投入，采购人均不予补偿。出现其他违法违规情形的，将按规定上报相关主管部门处理。</w:t>
      </w:r>
    </w:p>
    <w:p w14:paraId="712F0157">
      <w:pPr>
        <w:numPr>
          <w:ilvl w:val="0"/>
          <w:numId w:val="10"/>
        </w:numPr>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违约责任：</w:t>
      </w:r>
    </w:p>
    <w:p w14:paraId="3353654F">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中标人中标后以各种理由拒绝与采购人签订合同的，须向采购人偿付项目采购金额20%的违约金。</w:t>
      </w:r>
    </w:p>
    <w:p w14:paraId="21626789">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根据有关法律法规、规章、政策和本项目规定在服务区域内开展污水处理站运维外包服务工作，不得损害国家、集体及第三人的合法权益，不得获取不当利益。由此所产生的一切法律责任由中标人承担，采购人对此不承担任何责任，不得向采购人要求补偿或者赔偿。导致采购人承担法律责任和经济责任的，采购人依法向中标人追偿。</w:t>
      </w:r>
    </w:p>
    <w:p w14:paraId="572AB275">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中标人在履行污水处理站运维外包服务时，应保证对采购人系统和设备运行、异常、故障情况等情况密切关注。如存在异常情况应及时告知采购人，并进行分析处理、采取行之有效的预警或补救措施。</w:t>
      </w:r>
    </w:p>
    <w:p w14:paraId="1C0D1B7B">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在履行污水处理站运维外包服务时，若发现与污水处理站相关联的其他设备存在故障隐患或需部件维修/更换时，必须及时报告采购人，由其决定是否处置。如污水处理站相关系统和设备在运行中出现与其他设备的协同故障或冲突，中标人应主动配合对应供货商，积极协助解决问题。</w:t>
      </w:r>
    </w:p>
    <w:p w14:paraId="3DE40384">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采购人就污水处理站相关系统和设备存在疑惑或认为有异常情况发生时，中标人须及时响应采购人的服务请求，并确保问题的有效解决。除不可抗力，中标人应于接到采购人通知（包括电话、微信、传真等方式）后1小时内响应，2小时内维修调试恢复使用。</w:t>
      </w:r>
    </w:p>
    <w:p w14:paraId="6F67C3E1">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中标人不得对采购人的系统和设备做出有损采购人利益的行为，包括但不限于未经授权获取、存储、传播采购人内部工作信息和未经授权修改、增加、删除数据操作等行为。</w:t>
      </w:r>
    </w:p>
    <w:p w14:paraId="7AD28246">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中标人负责对所有服务人员进行监督、指导、管理和培训。</w:t>
      </w:r>
    </w:p>
    <w:p w14:paraId="78DCBB3A">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有权对中标人的日常服务工作实施监督与管理。若中标人维保人员未履行本项目约定服务内容或不服从采购人合理的工作安排与监管，采购人有权根据情节严重程度，直接要求中标人对其采取批评教育、处分或撤换等措施，中标人须予执行。若中标人服务人员出现工作失误或失职行为，经采购人要求更换后，两次更换仍无法满足要求的，采购人有权终止服务合同，由此产生的相关损失及责任均由中标人承担。</w:t>
      </w:r>
    </w:p>
    <w:p w14:paraId="47078D64">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服务人员在工作过程中如出现安全事故或其他原因导致伤、残、亡等，由中标人承担责任。由于中标人服务人员的过错或过失造成医院人员伤害或财物损失，由中标人承担法律责任和经济责任。因发生不可抗力事件（如地震、战争、自然灾害等）给医院造成损失，中标人不承担赔偿责任。</w:t>
      </w:r>
    </w:p>
    <w:p w14:paraId="07C80FC5">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中标人服务人员在履行工作职责方面，如响应不及时、不作为，产生的法律责任由中标人全部承担。</w:t>
      </w:r>
    </w:p>
    <w:p w14:paraId="2111B543">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若中标人因未执行国家相关政策法规或因管理不善、服务不规范等原因导致事故、纠纷、损失、法律风险或受到政府部门的处罚，由中标人承担全部责任，包括但不限于赔偿、罚款、法律责任等。</w:t>
      </w:r>
    </w:p>
    <w:p w14:paraId="3F6383C3">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中标人不得转包或分包项目内容，中标人转包或分包项目内容的，采购人有权解除合同。</w:t>
      </w:r>
    </w:p>
    <w:p w14:paraId="67C2A10F">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服务期内，中标人若中途无故自行停止服务，造成采购人法律风险、经济损失的，由中标人予以赔偿并承担相关责任。导致严重后果的，采购人有权解除合同。</w:t>
      </w:r>
    </w:p>
    <w:p w14:paraId="30A9B8C2">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服务期内因服务方污水运维导致的一切监管部门罚款由中标人承担相应罚款、服务期内因服务方污水运维导致我院收到监管部门违规违法约谈通报等，视情节轻重每次给与2000-5000元罚款</w:t>
      </w:r>
    </w:p>
    <w:p w14:paraId="7A21AB10">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中标人未按相关规范要求完成服务的，采购人会以书面形式通知中标人整改，在发函2次后中标人的服务仍无法达到采购人要求时，采购人以书面形式通知中标人解除合同。</w:t>
      </w:r>
    </w:p>
    <w:p w14:paraId="78AC74AD">
      <w:pPr>
        <w:widowControl/>
        <w:numPr>
          <w:ilvl w:val="0"/>
          <w:numId w:val="13"/>
        </w:numPr>
        <w:spacing w:line="360" w:lineRule="auto"/>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本项目服务终止时，中标人必须向采购人移交全部档案资料及相关设备设施，确保移交的资料和设备设施完好无缺，因中标人原因，未按时完成移交，由此产生的一切后果由中标人承担。</w:t>
      </w:r>
    </w:p>
    <w:p w14:paraId="698B7E72">
      <w:pPr>
        <w:spacing w:line="360" w:lineRule="auto"/>
        <w:rPr>
          <w:rFonts w:hint="eastAsia" w:ascii="宋体" w:hAnsi="宋体" w:eastAsia="宋体" w:cs="宋体"/>
          <w:b/>
          <w:color w:val="auto"/>
          <w:sz w:val="21"/>
          <w:szCs w:val="21"/>
          <w:highlight w:val="none"/>
          <w:shd w:val="clear" w:color="auto" w:fill="FFFFFF"/>
        </w:rPr>
      </w:pPr>
    </w:p>
    <w:p w14:paraId="376F919B">
      <w:pPr>
        <w:rPr>
          <w:rFonts w:hint="eastAsia" w:ascii="宋体" w:hAnsi="宋体" w:eastAsia="宋体" w:cs="宋体"/>
          <w:color w:val="auto"/>
          <w:sz w:val="21"/>
          <w:szCs w:val="21"/>
          <w:highlight w:val="none"/>
        </w:rPr>
      </w:pPr>
    </w:p>
    <w:bookmarkEnd w:id="2"/>
    <w:sectPr>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31EE42"/>
    <w:multiLevelType w:val="singleLevel"/>
    <w:tmpl w:val="8731EE42"/>
    <w:lvl w:ilvl="0" w:tentative="0">
      <w:start w:val="1"/>
      <w:numFmt w:val="chineseCounting"/>
      <w:suff w:val="nothing"/>
      <w:lvlText w:val="%1、"/>
      <w:lvlJc w:val="left"/>
      <w:rPr>
        <w:rFonts w:hint="eastAsia"/>
      </w:rPr>
    </w:lvl>
  </w:abstractNum>
  <w:abstractNum w:abstractNumId="1">
    <w:nsid w:val="BE2C37C2"/>
    <w:multiLevelType w:val="singleLevel"/>
    <w:tmpl w:val="BE2C37C2"/>
    <w:lvl w:ilvl="0" w:tentative="0">
      <w:start w:val="1"/>
      <w:numFmt w:val="decimal"/>
      <w:suff w:val="nothing"/>
      <w:lvlText w:val="%1．"/>
      <w:lvlJc w:val="left"/>
      <w:pPr>
        <w:ind w:left="0" w:firstLine="400"/>
      </w:pPr>
      <w:rPr>
        <w:rFonts w:hint="default"/>
      </w:rPr>
    </w:lvl>
  </w:abstractNum>
  <w:abstractNum w:abstractNumId="2">
    <w:nsid w:val="C2C886EB"/>
    <w:multiLevelType w:val="singleLevel"/>
    <w:tmpl w:val="C2C886EB"/>
    <w:lvl w:ilvl="0" w:tentative="0">
      <w:start w:val="1"/>
      <w:numFmt w:val="chineseCounting"/>
      <w:suff w:val="nothing"/>
      <w:lvlText w:val="（%1）"/>
      <w:lvlJc w:val="left"/>
      <w:rPr>
        <w:rFonts w:hint="eastAsia"/>
      </w:rPr>
    </w:lvl>
  </w:abstractNum>
  <w:abstractNum w:abstractNumId="3">
    <w:nsid w:val="D7F2C10E"/>
    <w:multiLevelType w:val="singleLevel"/>
    <w:tmpl w:val="D7F2C10E"/>
    <w:lvl w:ilvl="0" w:tentative="0">
      <w:start w:val="1"/>
      <w:numFmt w:val="decimal"/>
      <w:suff w:val="nothing"/>
      <w:lvlText w:val="%1．"/>
      <w:lvlJc w:val="left"/>
      <w:pPr>
        <w:ind w:left="-258" w:firstLine="400"/>
      </w:pPr>
      <w:rPr>
        <w:rFonts w:hint="default"/>
      </w:rPr>
    </w:lvl>
  </w:abstractNum>
  <w:abstractNum w:abstractNumId="4">
    <w:nsid w:val="E5E200E0"/>
    <w:multiLevelType w:val="singleLevel"/>
    <w:tmpl w:val="E5E200E0"/>
    <w:lvl w:ilvl="0" w:tentative="0">
      <w:start w:val="1"/>
      <w:numFmt w:val="decimal"/>
      <w:suff w:val="nothing"/>
      <w:lvlText w:val="%1．"/>
      <w:lvlJc w:val="left"/>
      <w:pPr>
        <w:ind w:left="150" w:firstLine="400"/>
      </w:pPr>
      <w:rPr>
        <w:rFonts w:hint="default"/>
      </w:rPr>
    </w:lvl>
  </w:abstractNum>
  <w:abstractNum w:abstractNumId="5">
    <w:nsid w:val="0DBE458E"/>
    <w:multiLevelType w:val="singleLevel"/>
    <w:tmpl w:val="0DBE458E"/>
    <w:lvl w:ilvl="0" w:tentative="0">
      <w:start w:val="2"/>
      <w:numFmt w:val="chineseCounting"/>
      <w:suff w:val="nothing"/>
      <w:lvlText w:val="%1、"/>
      <w:lvlJc w:val="left"/>
      <w:rPr>
        <w:rFonts w:hint="eastAsia"/>
        <w:b/>
        <w:bCs/>
      </w:rPr>
    </w:lvl>
  </w:abstractNum>
  <w:abstractNum w:abstractNumId="6">
    <w:nsid w:val="23734EF1"/>
    <w:multiLevelType w:val="singleLevel"/>
    <w:tmpl w:val="23734EF1"/>
    <w:lvl w:ilvl="0" w:tentative="0">
      <w:start w:val="1"/>
      <w:numFmt w:val="chineseCounting"/>
      <w:suff w:val="nothing"/>
      <w:lvlText w:val="（%1）"/>
      <w:lvlJc w:val="left"/>
      <w:pPr>
        <w:ind w:left="0" w:firstLine="420"/>
      </w:pPr>
      <w:rPr>
        <w:rFonts w:hint="eastAsia"/>
      </w:rPr>
    </w:lvl>
  </w:abstractNum>
  <w:abstractNum w:abstractNumId="7">
    <w:nsid w:val="24714A5A"/>
    <w:multiLevelType w:val="multilevel"/>
    <w:tmpl w:val="24714A5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48DBC05"/>
    <w:multiLevelType w:val="singleLevel"/>
    <w:tmpl w:val="348DBC05"/>
    <w:lvl w:ilvl="0" w:tentative="0">
      <w:start w:val="1"/>
      <w:numFmt w:val="chineseCounting"/>
      <w:suff w:val="nothing"/>
      <w:lvlText w:val="（%1）"/>
      <w:lvlJc w:val="left"/>
      <w:pPr>
        <w:ind w:left="0" w:firstLine="420"/>
      </w:pPr>
      <w:rPr>
        <w:rFonts w:hint="eastAsia"/>
      </w:rPr>
    </w:lvl>
  </w:abstractNum>
  <w:abstractNum w:abstractNumId="9">
    <w:nsid w:val="3C61AA2F"/>
    <w:multiLevelType w:val="singleLevel"/>
    <w:tmpl w:val="3C61AA2F"/>
    <w:lvl w:ilvl="0" w:tentative="0">
      <w:start w:val="1"/>
      <w:numFmt w:val="chineseCounting"/>
      <w:suff w:val="nothing"/>
      <w:lvlText w:val="（%1）"/>
      <w:lvlJc w:val="left"/>
      <w:rPr>
        <w:rFonts w:hint="eastAsia"/>
      </w:rPr>
    </w:lvl>
  </w:abstractNum>
  <w:abstractNum w:abstractNumId="10">
    <w:nsid w:val="403EA28A"/>
    <w:multiLevelType w:val="singleLevel"/>
    <w:tmpl w:val="403EA28A"/>
    <w:lvl w:ilvl="0" w:tentative="0">
      <w:start w:val="1"/>
      <w:numFmt w:val="decimal"/>
      <w:suff w:val="nothing"/>
      <w:lvlText w:val="%1．"/>
      <w:lvlJc w:val="left"/>
      <w:pPr>
        <w:ind w:left="150" w:firstLine="400"/>
      </w:pPr>
      <w:rPr>
        <w:rFonts w:hint="default"/>
      </w:rPr>
    </w:lvl>
  </w:abstractNum>
  <w:abstractNum w:abstractNumId="11">
    <w:nsid w:val="6B920266"/>
    <w:multiLevelType w:val="singleLevel"/>
    <w:tmpl w:val="6B920266"/>
    <w:lvl w:ilvl="0" w:tentative="0">
      <w:start w:val="1"/>
      <w:numFmt w:val="decimal"/>
      <w:suff w:val="nothing"/>
      <w:lvlText w:val="%1．"/>
      <w:lvlJc w:val="left"/>
      <w:pPr>
        <w:ind w:left="150" w:firstLine="400"/>
      </w:pPr>
      <w:rPr>
        <w:rFonts w:hint="default"/>
      </w:rPr>
    </w:lvl>
  </w:abstractNum>
  <w:abstractNum w:abstractNumId="12">
    <w:nsid w:val="7C2D25F0"/>
    <w:multiLevelType w:val="multilevel"/>
    <w:tmpl w:val="7C2D25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5"/>
  </w:num>
  <w:num w:numId="3">
    <w:abstractNumId w:val="2"/>
  </w:num>
  <w:num w:numId="4">
    <w:abstractNumId w:val="6"/>
  </w:num>
  <w:num w:numId="5">
    <w:abstractNumId w:val="12"/>
  </w:num>
  <w:num w:numId="6">
    <w:abstractNumId w:val="7"/>
  </w:num>
  <w:num w:numId="7">
    <w:abstractNumId w:val="9"/>
  </w:num>
  <w:num w:numId="8">
    <w:abstractNumId w:val="3"/>
  </w:num>
  <w:num w:numId="9">
    <w:abstractNumId w:val="1"/>
  </w:num>
  <w:num w:numId="10">
    <w:abstractNumId w:val="8"/>
  </w:num>
  <w:num w:numId="11">
    <w:abstractNumId w:val="10"/>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F76CFF"/>
    <w:rsid w:val="28F76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adjustRightInd w:val="0"/>
      <w:jc w:val="center"/>
      <w:textAlignment w:val="baseline"/>
      <w:outlineLvl w:val="1"/>
    </w:pPr>
    <w:rPr>
      <w:rFonts w:ascii="宋体" w:hAnsi="宋体"/>
      <w:kern w:val="0"/>
      <w:sz w:val="24"/>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Normal (Web)"/>
    <w:basedOn w:val="1"/>
    <w:qFormat/>
    <w:uiPriority w:val="99"/>
    <w:pPr>
      <w:spacing w:before="100" w:beforeAutospacing="1" w:after="100" w:afterAutospacing="1"/>
      <w:jc w:val="left"/>
    </w:pPr>
    <w:rPr>
      <w:kern w:val="0"/>
      <w:sz w:val="24"/>
    </w:rPr>
  </w:style>
  <w:style w:type="paragraph" w:customStyle="1" w:styleId="7">
    <w:name w:val="列出段落1"/>
    <w:basedOn w:val="1"/>
    <w:qFormat/>
    <w:uiPriority w:val="99"/>
    <w:pPr>
      <w:ind w:firstLine="420" w:firstLineChars="200"/>
    </w:pPr>
    <w:rPr>
      <w:rFonts w:ascii="Calibri" w:hAnsi="Calibr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2026-10-30T03:33:00Z</dcterms:created>
  <dc:creator>赖</dc:creator>
  <cp:lastModifiedBy>赖</cp:lastModifiedBy>
  <dcterms:modified xsi:type="dcterms:W3CDTF">2026-10-30T03:35:02Z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5F874D0A0D7B40F7ACDA0728A675E2BC_11</vt:lpwstr>
  </property>
  <property fmtid="{D5CDD505-2E9C-101B-9397-08002B2CF9AE}" pid="4" name="KSOTemplateDocerSaveRecord">
    <vt:lpwstr>eyJoZGlkIjoiYTZjNWJjMmQyNGY0ODU0MTBiZTUzZjhmYTU4Nzc2NTEiLCJ1c2VySWQiOiIzOTMyMzMzNTUifQ==</vt:lpwstr>
  </property>
</Properties>
</file>