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1854F">
      <w:pPr>
        <w:spacing w:line="360" w:lineRule="auto"/>
      </w:pPr>
    </w:p>
    <w:p w14:paraId="6BF1E0BD">
      <w:pPr>
        <w:spacing w:line="360" w:lineRule="auto"/>
        <w:jc w:val="center"/>
        <w:rPr>
          <w:b/>
          <w:sz w:val="120"/>
          <w:szCs w:val="120"/>
        </w:rPr>
      </w:pPr>
      <w:r>
        <w:rPr>
          <w:rFonts w:hint="eastAsia"/>
          <w:b/>
          <w:sz w:val="120"/>
          <w:szCs w:val="120"/>
        </w:rPr>
        <w:t>招标文件</w:t>
      </w:r>
    </w:p>
    <w:p w14:paraId="6534D813">
      <w:pPr>
        <w:spacing w:line="360" w:lineRule="auto"/>
        <w:jc w:val="center"/>
        <w:rPr>
          <w:b/>
          <w:sz w:val="52"/>
          <w:szCs w:val="52"/>
        </w:rPr>
      </w:pPr>
      <w:r>
        <w:rPr>
          <w:rFonts w:hint="eastAsia"/>
          <w:b/>
          <w:sz w:val="52"/>
          <w:szCs w:val="52"/>
        </w:rPr>
        <w:t>（服务类）</w:t>
      </w:r>
    </w:p>
    <w:p w14:paraId="68A2E65F">
      <w:pPr>
        <w:spacing w:line="360" w:lineRule="auto"/>
      </w:pPr>
    </w:p>
    <w:p w14:paraId="2344A7AE">
      <w:pPr>
        <w:spacing w:line="360" w:lineRule="auto"/>
      </w:pPr>
    </w:p>
    <w:p w14:paraId="04E8E67B">
      <w:pPr>
        <w:spacing w:line="360" w:lineRule="auto"/>
      </w:pPr>
    </w:p>
    <w:p w14:paraId="6F1B90E1">
      <w:pPr>
        <w:spacing w:line="360" w:lineRule="auto"/>
      </w:pPr>
    </w:p>
    <w:p w14:paraId="3F4D0F4A">
      <w:pPr>
        <w:spacing w:line="360" w:lineRule="auto"/>
      </w:pPr>
    </w:p>
    <w:p w14:paraId="09732C7B">
      <w:pPr>
        <w:spacing w:line="360" w:lineRule="auto"/>
      </w:pPr>
    </w:p>
    <w:p w14:paraId="053DAE97">
      <w:pPr>
        <w:spacing w:line="360" w:lineRule="auto"/>
      </w:pPr>
    </w:p>
    <w:p w14:paraId="34A6755D">
      <w:pPr>
        <w:spacing w:line="360" w:lineRule="auto"/>
      </w:pPr>
    </w:p>
    <w:p w14:paraId="4004E280">
      <w:pPr>
        <w:spacing w:line="360" w:lineRule="auto"/>
      </w:pPr>
    </w:p>
    <w:p w14:paraId="1D9ABFDD">
      <w:pPr>
        <w:spacing w:line="360" w:lineRule="auto"/>
      </w:pPr>
    </w:p>
    <w:p w14:paraId="526EB390">
      <w:pPr>
        <w:spacing w:line="360" w:lineRule="auto"/>
        <w:rPr>
          <w:rFonts w:hint="eastAsia"/>
          <w:b/>
          <w:bCs/>
          <w:sz w:val="30"/>
          <w:szCs w:val="30"/>
        </w:rPr>
      </w:pPr>
      <w:r>
        <w:rPr>
          <w:rFonts w:hint="eastAsia"/>
          <w:b/>
          <w:sz w:val="30"/>
          <w:szCs w:val="30"/>
        </w:rPr>
        <w:t>项目名称：</w:t>
      </w:r>
      <w:r>
        <w:rPr>
          <w:rFonts w:hint="eastAsia"/>
          <w:b/>
          <w:bCs/>
          <w:sz w:val="30"/>
          <w:szCs w:val="30"/>
        </w:rPr>
        <w:t>医院零星修缮工程服务项目</w:t>
      </w:r>
    </w:p>
    <w:p w14:paraId="7ECFD688">
      <w:pPr>
        <w:spacing w:line="360" w:lineRule="auto"/>
        <w:rPr>
          <w:rFonts w:hint="eastAsia" w:ascii="Times New Roman" w:hAnsi="Times New Roman" w:cs="Times New Roman"/>
          <w:b/>
          <w:bCs/>
          <w:sz w:val="30"/>
          <w:szCs w:val="30"/>
          <w:lang w:val="en-US" w:eastAsia="zh-CN"/>
        </w:rPr>
      </w:pPr>
      <w:r>
        <w:rPr>
          <w:rFonts w:hint="eastAsia" w:ascii="Times New Roman" w:hAnsi="Times New Roman" w:cs="Times New Roman"/>
          <w:b/>
          <w:sz w:val="30"/>
          <w:szCs w:val="30"/>
          <w:lang w:val="en-US" w:eastAsia="zh-CN"/>
        </w:rPr>
        <w:t>项目编号：</w:t>
      </w:r>
      <w:r>
        <w:rPr>
          <w:rFonts w:hint="eastAsia" w:ascii="Times New Roman" w:hAnsi="Times New Roman" w:cs="Times New Roman"/>
          <w:b/>
          <w:bCs/>
          <w:sz w:val="30"/>
          <w:szCs w:val="30"/>
        </w:rPr>
        <w:t>SZFSB-</w:t>
      </w:r>
      <w:r>
        <w:rPr>
          <w:rFonts w:hint="eastAsia" w:ascii="Times New Roman" w:hAnsi="Times New Roman" w:cs="Times New Roman"/>
          <w:b/>
          <w:bCs/>
          <w:sz w:val="30"/>
          <w:szCs w:val="30"/>
          <w:lang w:val="en-US" w:eastAsia="zh-CN"/>
        </w:rPr>
        <w:t>HQBZB</w:t>
      </w:r>
      <w:r>
        <w:rPr>
          <w:rFonts w:hint="eastAsia" w:ascii="Times New Roman" w:hAnsi="Times New Roman" w:cs="Times New Roman"/>
          <w:b/>
          <w:bCs/>
          <w:sz w:val="30"/>
          <w:szCs w:val="30"/>
        </w:rPr>
        <w:t>-2025-000</w:t>
      </w:r>
      <w:r>
        <w:rPr>
          <w:rFonts w:hint="eastAsia" w:ascii="Times New Roman" w:hAnsi="Times New Roman" w:cs="Times New Roman"/>
          <w:b/>
          <w:bCs/>
          <w:sz w:val="30"/>
          <w:szCs w:val="30"/>
          <w:lang w:val="en-US" w:eastAsia="zh-CN"/>
        </w:rPr>
        <w:t>2</w:t>
      </w:r>
    </w:p>
    <w:p w14:paraId="372D2B27">
      <w:pPr>
        <w:spacing w:line="360" w:lineRule="auto"/>
        <w:rPr>
          <w:rFonts w:hint="default" w:eastAsiaTheme="minorEastAsia"/>
          <w:b/>
          <w:sz w:val="30"/>
          <w:szCs w:val="30"/>
          <w:lang w:val="en-US" w:eastAsia="zh-CN"/>
        </w:rPr>
      </w:pPr>
      <w:r>
        <w:rPr>
          <w:rFonts w:hint="eastAsia"/>
          <w:b/>
          <w:sz w:val="30"/>
          <w:szCs w:val="30"/>
        </w:rPr>
        <w:t>采购人：</w:t>
      </w:r>
      <w:r>
        <w:rPr>
          <w:rFonts w:hint="eastAsia"/>
          <w:b/>
          <w:sz w:val="30"/>
          <w:szCs w:val="30"/>
          <w:lang w:val="en-US" w:eastAsia="zh-CN"/>
        </w:rPr>
        <w:t>深圳市福田区风湿病专科医院</w:t>
      </w:r>
    </w:p>
    <w:p w14:paraId="6A00229E">
      <w:pPr>
        <w:spacing w:line="360" w:lineRule="auto"/>
        <w:jc w:val="center"/>
        <w:outlineLvl w:val="0"/>
        <w:rPr>
          <w:rFonts w:eastAsia="宋体"/>
          <w:b/>
          <w:color w:val="FF0000"/>
          <w:sz w:val="52"/>
          <w:szCs w:val="52"/>
        </w:rPr>
      </w:pPr>
      <w:r>
        <w:br w:type="page"/>
      </w:r>
      <w:r>
        <w:rPr>
          <w:rFonts w:hint="eastAsia" w:eastAsia="宋体"/>
          <w:b/>
          <w:color w:val="FF0000"/>
          <w:sz w:val="52"/>
          <w:szCs w:val="52"/>
        </w:rPr>
        <w:t>警示条款</w:t>
      </w:r>
    </w:p>
    <w:p w14:paraId="3B3ED6F5">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一、</w:t>
      </w:r>
      <w:r>
        <w:rPr>
          <w:rFonts w:hint="eastAsia" w:ascii="宋体" w:hAnsi="宋体" w:eastAsia="宋体"/>
          <w:b/>
          <w:bCs/>
          <w:color w:val="FF0000"/>
          <w:sz w:val="21"/>
          <w:szCs w:val="21"/>
        </w:rPr>
        <w:t>《深圳经济特区政府采购条例》第五十七条</w:t>
      </w:r>
      <w:r>
        <w:rPr>
          <w:rFonts w:hint="eastAsia" w:ascii="宋体" w:hAnsi="宋体" w:eastAsia="宋体"/>
          <w:color w:val="FF0000"/>
          <w:sz w:val="21"/>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DA6025B">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（一）在采购活动中应当回避而未回避的；</w:t>
      </w:r>
    </w:p>
    <w:p w14:paraId="72A91D55">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（二）未按本条例规定签订、履行采购合同，造成严重后果的；</w:t>
      </w:r>
    </w:p>
    <w:p w14:paraId="4BD4031D">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（三）隐瞒真实情况，提供虚假资料的；</w:t>
      </w:r>
    </w:p>
    <w:p w14:paraId="27B71357">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（四）以非法手段排斥其他供应商参与竞争的；</w:t>
      </w:r>
    </w:p>
    <w:p w14:paraId="337CDE13">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（五）与其他采购参加人串通投标的；</w:t>
      </w:r>
    </w:p>
    <w:p w14:paraId="2CD32BAF">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（六）恶意投诉的；</w:t>
      </w:r>
    </w:p>
    <w:p w14:paraId="109967DA">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（七）向采购项目相关人行贿或者提供其他不当利益的；</w:t>
      </w:r>
    </w:p>
    <w:p w14:paraId="5A51FD12">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（八）阻碍、抗拒主管部门监督检查的；</w:t>
      </w:r>
    </w:p>
    <w:p w14:paraId="15E75317">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（九）其他违反本条例规定的行为。</w:t>
      </w:r>
    </w:p>
    <w:p w14:paraId="71242C02">
      <w:pPr>
        <w:spacing w:line="360" w:lineRule="auto"/>
        <w:ind w:firstLine="422" w:firstLineChars="200"/>
        <w:rPr>
          <w:rFonts w:ascii="宋体" w:hAnsi="宋体" w:eastAsia="宋体"/>
          <w:color w:val="FF0000"/>
          <w:sz w:val="21"/>
          <w:szCs w:val="21"/>
        </w:rPr>
      </w:pPr>
      <w:r>
        <w:rPr>
          <w:rFonts w:hint="eastAsia" w:ascii="宋体" w:hAnsi="宋体" w:eastAsia="宋体"/>
          <w:b/>
          <w:bCs/>
          <w:color w:val="FF0000"/>
          <w:sz w:val="21"/>
          <w:szCs w:val="21"/>
        </w:rPr>
        <w:t xml:space="preserve">二、《深圳经济特区政府采购条例实施细则》第七十五条 </w:t>
      </w:r>
      <w:r>
        <w:rPr>
          <w:rFonts w:hint="eastAsia" w:ascii="宋体" w:hAnsi="宋体" w:eastAsia="宋体"/>
          <w:color w:val="FF0000"/>
          <w:sz w:val="21"/>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E866D02">
      <w:pPr>
        <w:spacing w:line="360" w:lineRule="auto"/>
        <w:ind w:firstLine="422" w:firstLineChars="200"/>
        <w:rPr>
          <w:rFonts w:ascii="宋体" w:hAnsi="宋体" w:eastAsia="宋体"/>
          <w:color w:val="FF0000"/>
          <w:sz w:val="21"/>
          <w:szCs w:val="21"/>
        </w:rPr>
      </w:pPr>
      <w:r>
        <w:rPr>
          <w:rFonts w:hint="eastAsia" w:ascii="宋体" w:hAnsi="宋体" w:eastAsia="宋体"/>
          <w:b/>
          <w:bCs/>
          <w:color w:val="FF0000"/>
          <w:sz w:val="21"/>
          <w:szCs w:val="21"/>
        </w:rPr>
        <w:t xml:space="preserve">三、《深圳经济特区政府采购条例实施细则》第七十七条 </w:t>
      </w:r>
      <w:r>
        <w:rPr>
          <w:rFonts w:hint="eastAsia" w:ascii="宋体" w:hAnsi="宋体" w:eastAsia="宋体"/>
          <w:color w:val="FF0000"/>
          <w:sz w:val="21"/>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5CCCAAF">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四、请投标供应商阅读《政府采购违法行为风险知悉确认书》（内容详见“投标文件附件（信息不公开部分）”中节点“政府采购违法行为风险知悉确认书”），并经各投标供应商负责人或投标授权代表签字并加盖单位公章后，扫描上传至投标文件一并提交。</w:t>
      </w:r>
    </w:p>
    <w:p w14:paraId="17A2BA89">
      <w:pPr>
        <w:spacing w:line="360" w:lineRule="auto"/>
        <w:ind w:firstLine="420" w:firstLineChars="200"/>
        <w:rPr>
          <w:rFonts w:ascii="宋体" w:hAnsi="宋体" w:eastAsia="宋体"/>
          <w:color w:val="FF0000"/>
          <w:sz w:val="21"/>
          <w:szCs w:val="21"/>
        </w:rPr>
      </w:pPr>
      <w:r>
        <w:rPr>
          <w:rFonts w:hint="eastAsia" w:ascii="宋体" w:hAnsi="宋体" w:eastAsia="宋体"/>
          <w:color w:val="FF0000"/>
          <w:sz w:val="21"/>
          <w:szCs w:val="21"/>
        </w:rPr>
        <w:t>注：该风险知悉确认书用于对供应商违法行为的警示，不作为供应商资格性审查及符合性审查条件。</w:t>
      </w:r>
    </w:p>
    <w:p w14:paraId="6F6E3060">
      <w:pPr>
        <w:spacing w:line="360" w:lineRule="auto"/>
        <w:rPr>
          <w:rFonts w:eastAsia="宋体"/>
        </w:rPr>
      </w:pPr>
    </w:p>
    <w:p w14:paraId="511CCB72">
      <w:pPr>
        <w:spacing w:line="360" w:lineRule="auto"/>
        <w:rPr>
          <w:rFonts w:eastAsia="宋体"/>
        </w:rPr>
      </w:pPr>
    </w:p>
    <w:p w14:paraId="6E3564ED">
      <w:pPr>
        <w:spacing w:line="360" w:lineRule="auto"/>
        <w:rPr>
          <w:del w:id="0" w:author="赖" w:date="2025-04-11T09:43:49Z"/>
          <w:rFonts w:eastAsia="宋体"/>
          <w:b/>
          <w:color w:val="FF0000"/>
          <w:sz w:val="28"/>
          <w:szCs w:val="28"/>
          <w:highlight w:val="yellow"/>
        </w:rPr>
      </w:pPr>
      <w:del w:id="1" w:author="赖" w:date="2025-04-11T09:43:49Z">
        <w:r>
          <w:rPr>
            <w:rFonts w:hint="eastAsia" w:eastAsia="宋体"/>
            <w:b/>
            <w:color w:val="FF0000"/>
            <w:sz w:val="28"/>
            <w:szCs w:val="28"/>
            <w:highlight w:val="yellow"/>
          </w:rPr>
          <w:delText>其他警示条款</w:delText>
        </w:r>
      </w:del>
    </w:p>
    <w:p w14:paraId="60F6ADD2">
      <w:pPr>
        <w:spacing w:line="360" w:lineRule="auto"/>
        <w:ind w:firstLine="566" w:firstLineChars="236"/>
        <w:rPr>
          <w:del w:id="2" w:author="赖" w:date="2025-04-11T09:43:49Z"/>
          <w:rFonts w:ascii="宋体" w:hAnsi="宋体" w:eastAsia="宋体"/>
          <w:color w:val="FF0000"/>
          <w:highlight w:val="yellow"/>
        </w:rPr>
      </w:pPr>
      <w:del w:id="3" w:author="赖" w:date="2025-04-11T09:43:49Z">
        <w:r>
          <w:rPr>
            <w:rFonts w:hint="eastAsia" w:ascii="宋体" w:hAnsi="宋体" w:eastAsia="宋体"/>
            <w:color w:val="FF0000"/>
            <w:highlight w:val="yellow"/>
          </w:rPr>
          <w:delText>1、供应商在使用深圳政府采购智慧平台的投标文件制作工具创建投标文件时，该工具将自动在投标文件中记录文件创建标识码，同时提取投标文件制作电脑的网卡MAC地址、硬盘序列号、CPU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delText>
        </w:r>
      </w:del>
    </w:p>
    <w:p w14:paraId="035F5729">
      <w:pPr>
        <w:spacing w:line="360" w:lineRule="auto"/>
        <w:ind w:firstLine="566" w:firstLineChars="236"/>
        <w:rPr>
          <w:del w:id="4" w:author="赖" w:date="2025-04-11T09:43:49Z"/>
          <w:rFonts w:ascii="宋体" w:hAnsi="宋体" w:eastAsia="宋体"/>
          <w:color w:val="FF0000"/>
          <w:highlight w:val="yellow"/>
        </w:rPr>
      </w:pPr>
      <w:del w:id="5" w:author="赖" w:date="2025-04-11T09:43:49Z">
        <w:r>
          <w:rPr>
            <w:rFonts w:hint="eastAsia" w:ascii="宋体" w:hAnsi="宋体" w:eastAsia="宋体"/>
            <w:color w:val="FF0000"/>
            <w:highlight w:val="yellow"/>
          </w:rPr>
          <w:delText>2、为避免出现不同供应商投标文件的文件制作机器码、文件创建标识码、IP 地址一致的异常情况，</w:delText>
        </w:r>
      </w:del>
      <w:del w:id="6" w:author="赖" w:date="2025-04-11T09:43:49Z">
        <w:r>
          <w:rPr>
            <w:rFonts w:hint="eastAsia" w:ascii="宋体" w:hAnsi="宋体" w:eastAsia="宋体"/>
            <w:b/>
            <w:color w:val="FF0000"/>
            <w:highlight w:val="yellow"/>
            <w:u w:val="single"/>
          </w:rPr>
          <w:delText>建议各供应商编制、上传投标文件时不要使用公共电脑设备或公共网络。</w:delText>
        </w:r>
      </w:del>
    </w:p>
    <w:p w14:paraId="13738F05">
      <w:pPr>
        <w:spacing w:line="360" w:lineRule="auto"/>
        <w:ind w:firstLine="566" w:firstLineChars="236"/>
        <w:rPr>
          <w:del w:id="7" w:author="赖" w:date="2025-04-11T09:43:49Z"/>
          <w:rFonts w:ascii="宋体" w:hAnsi="宋体" w:eastAsia="宋体"/>
          <w:b/>
          <w:color w:val="FF0000"/>
          <w:u w:val="single"/>
        </w:rPr>
      </w:pPr>
      <w:del w:id="8" w:author="赖" w:date="2025-04-11T09:43:49Z">
        <w:r>
          <w:rPr>
            <w:rFonts w:hint="eastAsia" w:ascii="宋体" w:hAnsi="宋体" w:eastAsia="宋体"/>
            <w:color w:val="FF0000"/>
            <w:highlight w:val="yellow"/>
          </w:rPr>
          <w:delText>3、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w:delText>
        </w:r>
      </w:del>
      <w:del w:id="9" w:author="赖" w:date="2025-04-11T09:43:49Z">
        <w:r>
          <w:rPr>
            <w:rFonts w:hint="eastAsia" w:ascii="宋体" w:hAnsi="宋体" w:eastAsia="宋体"/>
            <w:b/>
            <w:color w:val="FF0000"/>
            <w:highlight w:val="yellow"/>
            <w:u w:val="single"/>
          </w:rPr>
          <w:delText>请各供应商独立编制、上传投标文件，妥善保管和使用电子秘钥。</w:delText>
        </w:r>
      </w:del>
    </w:p>
    <w:p w14:paraId="67103CC7">
      <w:pPr>
        <w:spacing w:line="360" w:lineRule="auto"/>
        <w:ind w:firstLine="566" w:firstLineChars="236"/>
        <w:rPr>
          <w:del w:id="10" w:author="赖" w:date="2025-04-11T09:43:49Z"/>
          <w:rFonts w:ascii="宋体" w:hAnsi="宋体" w:eastAsia="宋体"/>
          <w:color w:val="FF0000"/>
          <w:highlight w:val="yellow"/>
        </w:rPr>
      </w:pPr>
      <w:del w:id="11" w:author="赖" w:date="2025-04-11T09:43:49Z">
        <w:r>
          <w:rPr>
            <w:rFonts w:hint="eastAsia" w:ascii="宋体" w:hAnsi="宋体" w:eastAsia="宋体"/>
            <w:color w:val="FF0000"/>
            <w:highlight w:val="yellow"/>
          </w:rPr>
          <w:delText>4、</w:delText>
        </w:r>
      </w:del>
      <w:del w:id="12" w:author="赖" w:date="2025-04-11T09:43:49Z">
        <w:r>
          <w:rPr>
            <w:rFonts w:hint="eastAsia" w:ascii="宋体" w:hAnsi="宋体" w:eastAsia="宋体"/>
            <w:b/>
            <w:color w:val="FF0000"/>
            <w:highlight w:val="yellow"/>
            <w:u w:val="single"/>
          </w:rPr>
          <w:delText xml:space="preserve">不同投标供应商使用同一网络或同一设备编制、提交投标文件，将可能涉嫌串通投标违法行为而被立案调查。 </w:delText>
        </w:r>
      </w:del>
    </w:p>
    <w:p w14:paraId="5FA4478E">
      <w:pPr>
        <w:spacing w:line="360" w:lineRule="auto"/>
        <w:jc w:val="center"/>
        <w:outlineLvl w:val="0"/>
        <w:rPr>
          <w:rFonts w:ascii="Arial" w:hAnsi="Arial" w:eastAsia="宋体"/>
          <w:b/>
          <w:bCs/>
          <w:kern w:val="44"/>
          <w:sz w:val="32"/>
          <w:szCs w:val="32"/>
        </w:rPr>
      </w:pPr>
      <w:r>
        <w:br w:type="page"/>
      </w:r>
      <w:r>
        <w:rPr>
          <w:rFonts w:hint="eastAsia" w:ascii="Arial" w:hAnsi="Arial" w:eastAsia="宋体"/>
          <w:b/>
          <w:bCs/>
          <w:kern w:val="44"/>
          <w:sz w:val="32"/>
          <w:szCs w:val="32"/>
        </w:rPr>
        <w:t>目录</w:t>
      </w:r>
    </w:p>
    <w:p w14:paraId="67558992">
      <w:pPr>
        <w:spacing w:line="360" w:lineRule="auto"/>
        <w:rPr>
          <w:b/>
        </w:rPr>
      </w:pPr>
      <w:r>
        <w:rPr>
          <w:rFonts w:hint="eastAsia"/>
          <w:b/>
        </w:rPr>
        <w:t>第一册专用条款</w:t>
      </w:r>
    </w:p>
    <w:p w14:paraId="7BCF725D">
      <w:pPr>
        <w:spacing w:line="360" w:lineRule="auto"/>
        <w:rPr>
          <w:b/>
        </w:rPr>
      </w:pPr>
      <w:r>
        <w:rPr>
          <w:rFonts w:hint="eastAsia"/>
          <w:b/>
        </w:rPr>
        <w:tab/>
      </w:r>
      <w:r>
        <w:rPr>
          <w:rFonts w:hint="eastAsia"/>
          <w:b/>
        </w:rPr>
        <w:t>关键信息</w:t>
      </w:r>
    </w:p>
    <w:p w14:paraId="49951923">
      <w:pPr>
        <w:spacing w:line="360" w:lineRule="auto"/>
        <w:ind w:left="720" w:leftChars="300" w:firstLine="470" w:firstLineChars="196"/>
        <w:rPr>
          <w:rFonts w:ascii="宋体" w:hAnsi="宋体"/>
          <w:szCs w:val="21"/>
        </w:rPr>
      </w:pPr>
      <w:r>
        <w:rPr>
          <w:rFonts w:hint="eastAsia" w:ascii="宋体" w:hAnsi="宋体"/>
          <w:szCs w:val="21"/>
        </w:rPr>
        <w:t>第一章  招标公告</w:t>
      </w:r>
    </w:p>
    <w:p w14:paraId="5BE9E42B">
      <w:pPr>
        <w:spacing w:line="360" w:lineRule="auto"/>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44DDD284">
      <w:pPr>
        <w:spacing w:line="360" w:lineRule="auto"/>
        <w:ind w:left="720" w:leftChars="300" w:firstLine="470" w:firstLineChars="196"/>
        <w:rPr>
          <w:rFonts w:ascii="宋体" w:hAnsi="宋体"/>
          <w:szCs w:val="21"/>
        </w:rPr>
      </w:pPr>
      <w:r>
        <w:rPr>
          <w:rFonts w:hint="eastAsia" w:ascii="宋体" w:hAnsi="宋体"/>
          <w:szCs w:val="21"/>
        </w:rPr>
        <w:t>第三章  用户需求书</w:t>
      </w:r>
    </w:p>
    <w:p w14:paraId="6CC2587F">
      <w:pPr>
        <w:spacing w:line="360" w:lineRule="auto"/>
        <w:ind w:left="720" w:leftChars="300" w:firstLine="470" w:firstLineChars="196"/>
        <w:rPr>
          <w:rFonts w:ascii="宋体" w:hAnsi="宋体"/>
          <w:szCs w:val="21"/>
        </w:rPr>
      </w:pPr>
      <w:r>
        <w:rPr>
          <w:rFonts w:hint="eastAsia" w:ascii="宋体" w:hAnsi="宋体"/>
          <w:szCs w:val="21"/>
        </w:rPr>
        <w:t>第四章  投标文件组成要求及格式</w:t>
      </w:r>
    </w:p>
    <w:p w14:paraId="1EADC8E9">
      <w:pPr>
        <w:spacing w:line="360" w:lineRule="auto"/>
        <w:ind w:left="720" w:leftChars="300" w:firstLine="470" w:firstLineChars="196"/>
        <w:rPr>
          <w:rFonts w:ascii="宋体" w:hAnsi="宋体"/>
          <w:szCs w:val="21"/>
        </w:rPr>
      </w:pPr>
      <w:r>
        <w:rPr>
          <w:rFonts w:hint="eastAsia" w:ascii="宋体" w:hAnsi="宋体"/>
          <w:szCs w:val="21"/>
        </w:rPr>
        <w:t>第五章  合同条款及格式</w:t>
      </w:r>
    </w:p>
    <w:p w14:paraId="349A0071">
      <w:pPr>
        <w:spacing w:line="360" w:lineRule="auto"/>
        <w:rPr>
          <w:b/>
        </w:rPr>
      </w:pPr>
    </w:p>
    <w:p w14:paraId="4CB49D54">
      <w:pPr>
        <w:spacing w:line="360" w:lineRule="auto"/>
        <w:rPr>
          <w:b/>
        </w:rPr>
      </w:pPr>
      <w:r>
        <w:rPr>
          <w:rFonts w:hint="eastAsia"/>
          <w:b/>
        </w:rPr>
        <w:t>第二册通用条款</w:t>
      </w:r>
    </w:p>
    <w:p w14:paraId="45AC25E4">
      <w:pPr>
        <w:spacing w:line="360" w:lineRule="auto"/>
        <w:ind w:left="720" w:leftChars="300" w:firstLine="470" w:firstLineChars="196"/>
        <w:rPr>
          <w:rFonts w:ascii="宋体" w:hAnsi="宋体"/>
          <w:szCs w:val="21"/>
        </w:rPr>
      </w:pPr>
      <w:r>
        <w:rPr>
          <w:rFonts w:hint="eastAsia" w:ascii="宋体" w:hAnsi="宋体"/>
          <w:szCs w:val="21"/>
        </w:rPr>
        <w:t>第一章  总则</w:t>
      </w:r>
    </w:p>
    <w:p w14:paraId="16503020">
      <w:pPr>
        <w:spacing w:line="360" w:lineRule="auto"/>
        <w:ind w:left="720" w:leftChars="300" w:firstLine="470" w:firstLineChars="196"/>
        <w:rPr>
          <w:rFonts w:ascii="宋体" w:hAnsi="宋体"/>
          <w:szCs w:val="21"/>
        </w:rPr>
      </w:pPr>
      <w:r>
        <w:rPr>
          <w:rFonts w:hint="eastAsia" w:ascii="宋体" w:hAnsi="宋体"/>
          <w:szCs w:val="21"/>
        </w:rPr>
        <w:t>第二章  招标文件</w:t>
      </w:r>
    </w:p>
    <w:p w14:paraId="79296352">
      <w:pPr>
        <w:spacing w:line="360" w:lineRule="auto"/>
        <w:ind w:left="720" w:leftChars="300" w:firstLine="470" w:firstLineChars="196"/>
        <w:rPr>
          <w:rFonts w:ascii="宋体" w:hAnsi="宋体"/>
          <w:szCs w:val="21"/>
        </w:rPr>
      </w:pPr>
      <w:r>
        <w:rPr>
          <w:rFonts w:hint="eastAsia" w:ascii="宋体" w:hAnsi="宋体"/>
          <w:szCs w:val="21"/>
        </w:rPr>
        <w:t>第三章  投标文件的编制</w:t>
      </w:r>
    </w:p>
    <w:p w14:paraId="5480AD37">
      <w:pPr>
        <w:spacing w:line="360" w:lineRule="auto"/>
        <w:ind w:left="720" w:leftChars="300" w:firstLine="470" w:firstLineChars="196"/>
        <w:rPr>
          <w:rFonts w:ascii="宋体" w:hAnsi="宋体"/>
          <w:szCs w:val="21"/>
        </w:rPr>
      </w:pPr>
      <w:r>
        <w:rPr>
          <w:rFonts w:hint="eastAsia" w:ascii="宋体" w:hAnsi="宋体"/>
          <w:szCs w:val="21"/>
        </w:rPr>
        <w:t>第四章  投标文件的递交</w:t>
      </w:r>
    </w:p>
    <w:p w14:paraId="690BB1B6">
      <w:pPr>
        <w:spacing w:line="360" w:lineRule="auto"/>
        <w:ind w:left="720" w:leftChars="300" w:firstLine="470" w:firstLineChars="196"/>
        <w:rPr>
          <w:rFonts w:ascii="宋体" w:hAnsi="宋体"/>
          <w:szCs w:val="21"/>
        </w:rPr>
      </w:pPr>
      <w:r>
        <w:rPr>
          <w:rFonts w:hint="eastAsia" w:ascii="宋体" w:hAnsi="宋体"/>
          <w:szCs w:val="21"/>
        </w:rPr>
        <w:t>第五章  开标</w:t>
      </w:r>
    </w:p>
    <w:p w14:paraId="25492333">
      <w:pPr>
        <w:spacing w:line="360" w:lineRule="auto"/>
        <w:ind w:left="720" w:leftChars="300" w:firstLine="470" w:firstLineChars="196"/>
        <w:rPr>
          <w:rFonts w:ascii="宋体" w:hAnsi="宋体"/>
          <w:szCs w:val="21"/>
        </w:rPr>
      </w:pPr>
      <w:r>
        <w:rPr>
          <w:rFonts w:hint="eastAsia" w:ascii="宋体" w:hAnsi="宋体"/>
          <w:szCs w:val="21"/>
        </w:rPr>
        <w:t>第六章  评审要求</w:t>
      </w:r>
    </w:p>
    <w:p w14:paraId="59C3D742">
      <w:pPr>
        <w:spacing w:line="360" w:lineRule="auto"/>
        <w:ind w:left="720" w:leftChars="300" w:firstLine="470" w:firstLineChars="196"/>
        <w:rPr>
          <w:rFonts w:ascii="宋体" w:hAnsi="宋体"/>
          <w:szCs w:val="21"/>
        </w:rPr>
      </w:pPr>
      <w:r>
        <w:rPr>
          <w:rFonts w:hint="eastAsia" w:ascii="宋体" w:hAnsi="宋体"/>
          <w:szCs w:val="21"/>
        </w:rPr>
        <w:t>第七章  评审程序及评审方法</w:t>
      </w:r>
    </w:p>
    <w:p w14:paraId="2FB92E56">
      <w:pPr>
        <w:spacing w:line="360" w:lineRule="auto"/>
        <w:ind w:left="720" w:leftChars="300" w:firstLine="470" w:firstLineChars="196"/>
        <w:rPr>
          <w:rFonts w:ascii="宋体" w:hAnsi="宋体"/>
          <w:szCs w:val="21"/>
        </w:rPr>
      </w:pPr>
      <w:r>
        <w:rPr>
          <w:rFonts w:hint="eastAsia" w:ascii="宋体" w:hAnsi="宋体"/>
          <w:szCs w:val="21"/>
        </w:rPr>
        <w:t>第八章  定标及公示</w:t>
      </w:r>
    </w:p>
    <w:p w14:paraId="78B54BA2">
      <w:pPr>
        <w:spacing w:line="360" w:lineRule="auto"/>
        <w:ind w:left="720" w:leftChars="300" w:firstLine="470" w:firstLineChars="196"/>
        <w:rPr>
          <w:rFonts w:ascii="宋体" w:hAnsi="宋体"/>
          <w:szCs w:val="21"/>
        </w:rPr>
      </w:pPr>
      <w:r>
        <w:rPr>
          <w:rFonts w:hint="eastAsia" w:ascii="宋体" w:hAnsi="宋体"/>
          <w:szCs w:val="21"/>
        </w:rPr>
        <w:t>第九章  公开招标失败的后续处理</w:t>
      </w:r>
    </w:p>
    <w:p w14:paraId="54D2C1D1">
      <w:pPr>
        <w:spacing w:line="360" w:lineRule="auto"/>
        <w:ind w:left="720" w:leftChars="300" w:firstLine="470" w:firstLineChars="196"/>
        <w:rPr>
          <w:rFonts w:ascii="宋体" w:hAnsi="宋体"/>
          <w:szCs w:val="21"/>
        </w:rPr>
      </w:pPr>
      <w:r>
        <w:rPr>
          <w:rFonts w:hint="eastAsia" w:ascii="宋体" w:hAnsi="宋体"/>
          <w:szCs w:val="21"/>
        </w:rPr>
        <w:t>第十章  合同的授予与备案</w:t>
      </w:r>
    </w:p>
    <w:p w14:paraId="23040149">
      <w:pPr>
        <w:spacing w:line="360" w:lineRule="auto"/>
        <w:ind w:left="708" w:leftChars="295" w:firstLine="480" w:firstLineChars="200"/>
      </w:pPr>
      <w:r>
        <w:rPr>
          <w:rFonts w:hint="eastAsia"/>
        </w:rPr>
        <w:t>第十一章质疑处理</w:t>
      </w:r>
    </w:p>
    <w:p w14:paraId="3335B039">
      <w:pPr>
        <w:spacing w:line="360" w:lineRule="auto"/>
      </w:pPr>
    </w:p>
    <w:p w14:paraId="7EEA77E5">
      <w:pPr>
        <w:spacing w:line="360" w:lineRule="auto"/>
      </w:pPr>
    </w:p>
    <w:p w14:paraId="2004C290">
      <w:pPr>
        <w:spacing w:line="360" w:lineRule="auto"/>
        <w:jc w:val="center"/>
        <w:rPr>
          <w:rFonts w:ascii="Arial" w:hAnsi="Arial" w:eastAsia="宋体"/>
          <w:b/>
          <w:bCs/>
          <w:kern w:val="44"/>
          <w:sz w:val="32"/>
          <w:szCs w:val="32"/>
        </w:rPr>
      </w:pPr>
      <w:r>
        <w:br w:type="page"/>
      </w:r>
      <w:r>
        <w:rPr>
          <w:rFonts w:hint="eastAsia" w:ascii="Arial" w:hAnsi="Arial" w:eastAsia="宋体"/>
          <w:b/>
          <w:bCs/>
          <w:kern w:val="44"/>
          <w:sz w:val="32"/>
          <w:szCs w:val="32"/>
        </w:rPr>
        <w:t>第一册专用条款</w:t>
      </w:r>
    </w:p>
    <w:p w14:paraId="7B6B14CC">
      <w:pPr>
        <w:tabs>
          <w:tab w:val="left" w:pos="2790"/>
        </w:tabs>
        <w:snapToGrid w:val="0"/>
        <w:spacing w:line="360" w:lineRule="auto"/>
        <w:jc w:val="center"/>
        <w:rPr>
          <w:b/>
        </w:rPr>
      </w:pPr>
      <w:r>
        <w:rPr>
          <w:rFonts w:hint="eastAsia"/>
          <w:b/>
        </w:rPr>
        <w:t>关键信息</w:t>
      </w:r>
    </w:p>
    <w:p w14:paraId="03F3DB2C">
      <w:pPr>
        <w:tabs>
          <w:tab w:val="left" w:pos="2790"/>
        </w:tabs>
        <w:snapToGrid w:val="0"/>
        <w:spacing w:line="360" w:lineRule="auto"/>
      </w:pPr>
      <w:r>
        <w:t>项目名称：</w:t>
      </w:r>
      <w:r>
        <w:rPr>
          <w:rFonts w:hint="eastAsia"/>
          <w:lang w:eastAsia="zh-CN"/>
        </w:rPr>
        <w:t>深圳市福田区风湿病专科医院</w:t>
      </w:r>
      <w:r>
        <w:rPr>
          <w:rFonts w:hint="eastAsia"/>
        </w:rPr>
        <w:t>零星修缮工程服务项目</w:t>
      </w:r>
    </w:p>
    <w:p w14:paraId="6B4AEFB2">
      <w:pPr>
        <w:tabs>
          <w:tab w:val="left" w:pos="2790"/>
        </w:tabs>
        <w:snapToGrid w:val="0"/>
        <w:spacing w:line="360" w:lineRule="auto"/>
        <w:rPr>
          <w:rFonts w:hint="eastAsia" w:eastAsiaTheme="minorEastAsia"/>
          <w:lang w:eastAsia="zh-CN"/>
        </w:rPr>
      </w:pPr>
      <w:r>
        <w:t>采购</w:t>
      </w:r>
      <w:r>
        <w:rPr>
          <w:rFonts w:hint="eastAsia"/>
        </w:rPr>
        <w:t>单位</w:t>
      </w:r>
      <w:r>
        <w:t>：</w:t>
      </w:r>
      <w:r>
        <w:rPr>
          <w:rFonts w:hint="eastAsia"/>
          <w:lang w:eastAsia="zh-CN"/>
        </w:rPr>
        <w:t>深圳市福田区风湿病专科医院</w:t>
      </w:r>
    </w:p>
    <w:p w14:paraId="05DC9D0E">
      <w:pPr>
        <w:tabs>
          <w:tab w:val="left" w:pos="2790"/>
        </w:tabs>
        <w:snapToGrid w:val="0"/>
        <w:spacing w:line="360" w:lineRule="auto"/>
      </w:pPr>
      <w:r>
        <w:rPr>
          <w:rFonts w:hint="eastAsia"/>
        </w:rPr>
        <w:t>项目类型：服务类</w:t>
      </w:r>
    </w:p>
    <w:p w14:paraId="331B1B54">
      <w:pPr>
        <w:tabs>
          <w:tab w:val="left" w:pos="2790"/>
        </w:tabs>
        <w:snapToGrid w:val="0"/>
        <w:spacing w:line="360" w:lineRule="auto"/>
      </w:pPr>
      <w:r>
        <w:rPr>
          <w:rFonts w:hint="eastAsia"/>
        </w:rPr>
        <w:t>评审方法：综合评分法；</w:t>
      </w:r>
    </w:p>
    <w:tbl>
      <w:tblPr>
        <w:tblStyle w:val="4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6C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917D094">
            <w:pPr>
              <w:spacing w:line="360" w:lineRule="auto"/>
              <w:jc w:val="center"/>
              <w:rPr>
                <w:rFonts w:ascii="Calibri" w:hAnsi="Calibri" w:eastAsia="宋体"/>
                <w:b/>
              </w:rPr>
            </w:pPr>
            <w:r>
              <w:rPr>
                <w:rFonts w:hint="eastAsia" w:ascii="Calibri" w:hAnsi="Calibri" w:eastAsia="宋体"/>
                <w:b/>
              </w:rPr>
              <w:t>资格性检查表</w:t>
            </w:r>
          </w:p>
        </w:tc>
      </w:tr>
      <w:tr w14:paraId="3F45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BF0E7B2">
            <w:pPr>
              <w:spacing w:line="360" w:lineRule="auto"/>
              <w:rPr>
                <w:rFonts w:ascii="Calibri" w:hAnsi="Calibri" w:eastAsia="宋体"/>
              </w:rPr>
            </w:pPr>
            <w:r>
              <w:rPr>
                <w:rFonts w:ascii="Calibri" w:hAnsi="Calibri" w:eastAsia="宋体"/>
              </w:rPr>
              <w:t>1</w:t>
            </w:r>
          </w:p>
        </w:tc>
        <w:tc>
          <w:tcPr>
            <w:tcW w:w="8229" w:type="dxa"/>
          </w:tcPr>
          <w:p w14:paraId="711A1049">
            <w:pPr>
              <w:spacing w:line="360" w:lineRule="auto"/>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6554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6C839FFE">
            <w:pPr>
              <w:spacing w:line="360" w:lineRule="auto"/>
              <w:jc w:val="center"/>
              <w:rPr>
                <w:rFonts w:ascii="Calibri" w:hAnsi="Calibri" w:eastAsia="宋体"/>
                <w:b/>
              </w:rPr>
            </w:pPr>
            <w:r>
              <w:rPr>
                <w:rFonts w:hint="eastAsia" w:ascii="Calibri" w:hAnsi="Calibri" w:eastAsia="宋体"/>
                <w:b/>
              </w:rPr>
              <w:t>符合性检查表</w:t>
            </w:r>
          </w:p>
        </w:tc>
      </w:tr>
      <w:tr w14:paraId="34FC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964D36">
            <w:pPr>
              <w:spacing w:line="360" w:lineRule="auto"/>
              <w:rPr>
                <w:rFonts w:ascii="Calibri" w:hAnsi="Calibri" w:eastAsia="宋体"/>
              </w:rPr>
            </w:pPr>
            <w:r>
              <w:rPr>
                <w:rFonts w:ascii="Calibri" w:hAnsi="Calibri" w:eastAsia="宋体"/>
              </w:rPr>
              <w:t>1</w:t>
            </w:r>
          </w:p>
        </w:tc>
        <w:tc>
          <w:tcPr>
            <w:tcW w:w="8229" w:type="dxa"/>
          </w:tcPr>
          <w:p w14:paraId="65E1AC60">
            <w:pPr>
              <w:spacing w:line="360" w:lineRule="auto"/>
              <w:rPr>
                <w:rFonts w:ascii="Calibri" w:hAnsi="Calibri" w:eastAsia="宋体"/>
              </w:rPr>
            </w:pPr>
            <w:r>
              <w:rPr>
                <w:rFonts w:hint="eastAsia" w:ascii="Calibri" w:hAnsi="Calibri" w:eastAsia="宋体"/>
              </w:rPr>
              <w:t>将一个包或一个标段的内容拆开投标；</w:t>
            </w:r>
          </w:p>
        </w:tc>
      </w:tr>
      <w:tr w14:paraId="6596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68F7CAE">
            <w:pPr>
              <w:spacing w:line="360" w:lineRule="auto"/>
              <w:rPr>
                <w:rFonts w:ascii="Calibri" w:hAnsi="Calibri" w:eastAsia="宋体"/>
              </w:rPr>
            </w:pPr>
            <w:r>
              <w:rPr>
                <w:rFonts w:ascii="Calibri" w:hAnsi="Calibri" w:eastAsia="宋体"/>
              </w:rPr>
              <w:t>2</w:t>
            </w:r>
          </w:p>
        </w:tc>
        <w:tc>
          <w:tcPr>
            <w:tcW w:w="8229" w:type="dxa"/>
          </w:tcPr>
          <w:p w14:paraId="24FA776A">
            <w:pPr>
              <w:spacing w:line="360" w:lineRule="auto"/>
              <w:rPr>
                <w:rFonts w:ascii="Calibri" w:hAnsi="Calibri" w:eastAsia="宋体"/>
              </w:rPr>
            </w:pPr>
            <w:r>
              <w:rPr>
                <w:rFonts w:hint="eastAsia" w:ascii="Calibri" w:hAnsi="Calibri" w:eastAsia="宋体"/>
              </w:rPr>
              <w:t>对同一项目投标时，提供两套以上的投标方案（招标文件另有规定的除外）；</w:t>
            </w:r>
          </w:p>
        </w:tc>
      </w:tr>
      <w:tr w14:paraId="7B1A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9A359ED">
            <w:pPr>
              <w:spacing w:line="360" w:lineRule="auto"/>
              <w:rPr>
                <w:rFonts w:ascii="Calibri" w:hAnsi="Calibri" w:eastAsia="宋体"/>
              </w:rPr>
            </w:pPr>
            <w:r>
              <w:rPr>
                <w:rFonts w:ascii="Calibri" w:hAnsi="Calibri" w:eastAsia="宋体"/>
              </w:rPr>
              <w:t>3</w:t>
            </w:r>
          </w:p>
        </w:tc>
        <w:tc>
          <w:tcPr>
            <w:tcW w:w="8229" w:type="dxa"/>
          </w:tcPr>
          <w:p w14:paraId="4DCACDED">
            <w:pPr>
              <w:spacing w:line="360" w:lineRule="auto"/>
              <w:rPr>
                <w:rFonts w:ascii="Calibri" w:hAnsi="Calibri" w:eastAsia="宋体"/>
              </w:rPr>
            </w:pPr>
            <w:r>
              <w:rPr>
                <w:rFonts w:hint="eastAsia" w:ascii="Calibri" w:hAnsi="Calibri" w:eastAsia="宋体"/>
              </w:rPr>
              <w:t>分项报价或投标总价高于预算金额（最高投标限价）的；</w:t>
            </w:r>
          </w:p>
        </w:tc>
      </w:tr>
      <w:tr w14:paraId="557E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82A1194">
            <w:pPr>
              <w:spacing w:line="360" w:lineRule="auto"/>
              <w:rPr>
                <w:rFonts w:ascii="Calibri" w:hAnsi="Calibri" w:eastAsia="宋体"/>
              </w:rPr>
            </w:pPr>
            <w:r>
              <w:rPr>
                <w:rFonts w:ascii="Calibri" w:hAnsi="Calibri" w:eastAsia="宋体"/>
              </w:rPr>
              <w:t>4</w:t>
            </w:r>
          </w:p>
        </w:tc>
        <w:tc>
          <w:tcPr>
            <w:tcW w:w="8229" w:type="dxa"/>
          </w:tcPr>
          <w:p w14:paraId="0E9EFC0B">
            <w:pPr>
              <w:spacing w:line="360" w:lineRule="auto"/>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48A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30FD83C">
            <w:pPr>
              <w:spacing w:line="360" w:lineRule="auto"/>
              <w:rPr>
                <w:rFonts w:ascii="Calibri" w:hAnsi="Calibri" w:eastAsia="宋体"/>
              </w:rPr>
            </w:pPr>
            <w:r>
              <w:rPr>
                <w:rFonts w:ascii="Calibri" w:hAnsi="Calibri" w:eastAsia="宋体"/>
              </w:rPr>
              <w:t>5</w:t>
            </w:r>
          </w:p>
        </w:tc>
        <w:tc>
          <w:tcPr>
            <w:tcW w:w="8229" w:type="dxa"/>
          </w:tcPr>
          <w:p w14:paraId="00EA882B">
            <w:pPr>
              <w:spacing w:line="360" w:lineRule="auto"/>
              <w:rPr>
                <w:rFonts w:ascii="Calibri" w:hAnsi="Calibri" w:eastAsia="宋体"/>
              </w:rPr>
            </w:pPr>
            <w:r>
              <w:rPr>
                <w:rFonts w:hint="eastAsia" w:ascii="Calibri" w:hAnsi="Calibri" w:eastAsia="宋体"/>
              </w:rPr>
              <w:t>所投产品、工程、服务在商务、技术等方面没有实质性满足招标文件要求的（是否实质性满足招标文件要求，由评标委员会根据《</w:t>
            </w:r>
            <w:r>
              <w:rPr>
                <w:rFonts w:hint="eastAsia" w:ascii="Calibri" w:hAnsi="Calibri" w:eastAsia="宋体"/>
                <w:bCs/>
              </w:rPr>
              <w:t>商务（服务）条款偏离表</w:t>
            </w:r>
            <w:r>
              <w:rPr>
                <w:rFonts w:hint="eastAsia" w:ascii="Calibri" w:hAnsi="Calibri" w:eastAsia="宋体"/>
              </w:rPr>
              <w:t>》做出评判）；</w:t>
            </w:r>
          </w:p>
        </w:tc>
      </w:tr>
      <w:tr w14:paraId="13DC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D34661E">
            <w:pPr>
              <w:spacing w:line="360" w:lineRule="auto"/>
              <w:rPr>
                <w:rFonts w:ascii="Calibri" w:hAnsi="Calibri" w:eastAsia="宋体"/>
              </w:rPr>
            </w:pPr>
            <w:r>
              <w:rPr>
                <w:rFonts w:ascii="Calibri" w:hAnsi="Calibri" w:eastAsia="宋体"/>
              </w:rPr>
              <w:t>6</w:t>
            </w:r>
          </w:p>
        </w:tc>
        <w:tc>
          <w:tcPr>
            <w:tcW w:w="8229" w:type="dxa"/>
          </w:tcPr>
          <w:p w14:paraId="52518B55">
            <w:pPr>
              <w:spacing w:line="360" w:lineRule="auto"/>
              <w:rPr>
                <w:rFonts w:ascii="Calibri" w:hAnsi="Calibri" w:eastAsia="宋体"/>
              </w:rPr>
            </w:pPr>
            <w:r>
              <w:rPr>
                <w:rFonts w:hint="eastAsia" w:ascii="Calibri" w:hAnsi="Calibri" w:eastAsia="宋体"/>
              </w:rPr>
              <w:t>未按招标文件所提供的样式填写《投标函》；未按招标文件所提供的《政府采购投标及履约承诺函》进行承诺；未按招标文件对投标文件组成的要求提供投标文件的（投标文件组成不完整）；</w:t>
            </w:r>
          </w:p>
        </w:tc>
      </w:tr>
      <w:tr w14:paraId="5EB0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D5112BC">
            <w:pPr>
              <w:spacing w:line="360" w:lineRule="auto"/>
              <w:rPr>
                <w:rFonts w:ascii="Calibri" w:hAnsi="Calibri" w:eastAsia="宋体"/>
              </w:rPr>
            </w:pPr>
            <w:r>
              <w:rPr>
                <w:rFonts w:ascii="Calibri" w:hAnsi="Calibri" w:eastAsia="宋体"/>
              </w:rPr>
              <w:t>7</w:t>
            </w:r>
          </w:p>
        </w:tc>
        <w:tc>
          <w:tcPr>
            <w:tcW w:w="8229" w:type="dxa"/>
          </w:tcPr>
          <w:p w14:paraId="3914439C">
            <w:pPr>
              <w:spacing w:line="360" w:lineRule="auto"/>
              <w:rPr>
                <w:rFonts w:ascii="Calibri" w:hAnsi="Calibri" w:eastAsia="宋体"/>
              </w:rPr>
            </w:pPr>
            <w:r>
              <w:rPr>
                <w:rFonts w:hint="eastAsia" w:ascii="Calibri" w:hAnsi="Calibri" w:eastAsia="宋体"/>
              </w:rPr>
              <w:t>投标报价有缺漏项目或对招标文件规定的服务清单项目及数量进行修改；</w:t>
            </w:r>
          </w:p>
        </w:tc>
      </w:tr>
      <w:tr w14:paraId="4455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2068725">
            <w:pPr>
              <w:spacing w:line="360" w:lineRule="auto"/>
              <w:rPr>
                <w:rFonts w:ascii="Calibri" w:hAnsi="Calibri" w:eastAsia="宋体"/>
              </w:rPr>
            </w:pPr>
            <w:r>
              <w:rPr>
                <w:rFonts w:ascii="Calibri" w:hAnsi="Calibri" w:eastAsia="宋体"/>
              </w:rPr>
              <w:t>8</w:t>
            </w:r>
          </w:p>
        </w:tc>
        <w:tc>
          <w:tcPr>
            <w:tcW w:w="8229" w:type="dxa"/>
          </w:tcPr>
          <w:p w14:paraId="0E7AACB7">
            <w:pPr>
              <w:spacing w:line="360" w:lineRule="auto"/>
              <w:rPr>
                <w:rFonts w:ascii="Calibri" w:hAnsi="Calibri" w:eastAsia="宋体"/>
              </w:rPr>
            </w:pPr>
            <w:r>
              <w:rPr>
                <w:rFonts w:hint="eastAsia" w:ascii="Calibri" w:hAnsi="Calibri" w:eastAsia="宋体"/>
              </w:rPr>
              <w:t>投标文件存在列放位置错误，导致属于信息公开情形的没有被公开</w:t>
            </w:r>
          </w:p>
        </w:tc>
      </w:tr>
      <w:tr w14:paraId="7F63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A439AA5">
            <w:pPr>
              <w:spacing w:line="360" w:lineRule="auto"/>
              <w:rPr>
                <w:rFonts w:ascii="Calibri" w:hAnsi="Calibri" w:eastAsia="宋体"/>
              </w:rPr>
            </w:pPr>
            <w:r>
              <w:rPr>
                <w:rFonts w:ascii="Calibri" w:hAnsi="Calibri" w:eastAsia="宋体"/>
              </w:rPr>
              <w:t>9</w:t>
            </w:r>
          </w:p>
        </w:tc>
        <w:tc>
          <w:tcPr>
            <w:tcW w:w="8229" w:type="dxa"/>
          </w:tcPr>
          <w:p w14:paraId="4C237ACB">
            <w:pPr>
              <w:spacing w:line="360" w:lineRule="auto"/>
              <w:rPr>
                <w:rFonts w:ascii="Calibri" w:hAnsi="Calibri" w:eastAsia="宋体"/>
              </w:rPr>
            </w:pPr>
            <w:r>
              <w:rPr>
                <w:rFonts w:hint="eastAsia" w:ascii="Calibri" w:hAnsi="Calibri" w:eastAsia="宋体"/>
              </w:rPr>
              <w:t>投标文件电子文档带病毒。</w:t>
            </w:r>
          </w:p>
        </w:tc>
      </w:tr>
      <w:tr w14:paraId="2872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8B94D80">
            <w:pPr>
              <w:spacing w:line="360" w:lineRule="auto"/>
              <w:rPr>
                <w:rFonts w:ascii="Calibri" w:hAnsi="Calibri" w:eastAsia="宋体"/>
              </w:rPr>
            </w:pPr>
            <w:r>
              <w:rPr>
                <w:rFonts w:ascii="Calibri" w:hAnsi="Calibri" w:eastAsia="宋体"/>
              </w:rPr>
              <w:t>10</w:t>
            </w:r>
          </w:p>
        </w:tc>
        <w:tc>
          <w:tcPr>
            <w:tcW w:w="8229" w:type="dxa"/>
          </w:tcPr>
          <w:p w14:paraId="5D700017">
            <w:pPr>
              <w:spacing w:line="360" w:lineRule="auto"/>
              <w:rPr>
                <w:rFonts w:ascii="Calibri" w:hAnsi="Calibri" w:eastAsia="宋体"/>
              </w:rPr>
            </w:pPr>
            <w:r>
              <w:rPr>
                <w:rFonts w:hint="eastAsia" w:ascii="Calibri" w:hAnsi="Calibri" w:eastAsia="宋体"/>
              </w:rPr>
              <w:t>投标文件用不属于本公司的电子密钥进行加密的</w:t>
            </w:r>
            <w:r>
              <w:rPr>
                <w:rFonts w:ascii="Calibri" w:hAnsi="Calibri" w:eastAsia="宋体"/>
              </w:rPr>
              <w:t>。</w:t>
            </w:r>
          </w:p>
        </w:tc>
      </w:tr>
      <w:tr w14:paraId="4961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33495C4">
            <w:pPr>
              <w:spacing w:line="360" w:lineRule="auto"/>
              <w:rPr>
                <w:rFonts w:ascii="Calibri" w:hAnsi="Calibri" w:eastAsia="宋体"/>
              </w:rPr>
            </w:pPr>
            <w:r>
              <w:rPr>
                <w:rFonts w:ascii="Calibri" w:hAnsi="Calibri" w:eastAsia="宋体"/>
              </w:rPr>
              <w:t>11</w:t>
            </w:r>
          </w:p>
        </w:tc>
        <w:tc>
          <w:tcPr>
            <w:tcW w:w="8229" w:type="dxa"/>
          </w:tcPr>
          <w:p w14:paraId="400E2BD4">
            <w:pPr>
              <w:spacing w:line="360" w:lineRule="auto"/>
              <w:rPr>
                <w:rFonts w:ascii="Calibri" w:hAnsi="Calibri" w:eastAsia="宋体"/>
              </w:rPr>
            </w:pPr>
            <w:r>
              <w:rPr>
                <w:rFonts w:hint="eastAsia" w:ascii="Calibri" w:hAnsi="Calibri" w:eastAsia="宋体"/>
              </w:rPr>
              <w:t>误选了非本项目的最新加密规则文件，导致投标文件不能在开标时解密</w:t>
            </w:r>
            <w:r>
              <w:rPr>
                <w:rFonts w:ascii="Calibri" w:hAnsi="Calibri" w:eastAsia="宋体"/>
              </w:rPr>
              <w:t>。</w:t>
            </w:r>
          </w:p>
        </w:tc>
      </w:tr>
      <w:tr w14:paraId="268F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BCAE7E0">
            <w:pPr>
              <w:spacing w:line="360" w:lineRule="auto"/>
              <w:rPr>
                <w:rFonts w:ascii="Calibri" w:hAnsi="Calibri" w:eastAsia="宋体"/>
              </w:rPr>
            </w:pPr>
            <w:r>
              <w:rPr>
                <w:rFonts w:hint="eastAsia" w:ascii="Calibri" w:hAnsi="Calibri" w:eastAsia="宋体"/>
              </w:rPr>
              <w:t>12</w:t>
            </w:r>
          </w:p>
        </w:tc>
        <w:tc>
          <w:tcPr>
            <w:tcW w:w="8229" w:type="dxa"/>
          </w:tcPr>
          <w:p w14:paraId="58BC1F04">
            <w:pPr>
              <w:spacing w:line="360" w:lineRule="auto"/>
              <w:rPr>
                <w:rFonts w:ascii="Calibri" w:hAnsi="Calibri" w:eastAsia="宋体"/>
              </w:rPr>
            </w:pPr>
            <w:r>
              <w:rPr>
                <w:rFonts w:hint="eastAsia" w:ascii="Calibri" w:hAnsi="Calibri" w:eastAsia="宋体"/>
              </w:rPr>
              <w:t>法律、法规、规章、规范性文件规定的其他情形。</w:t>
            </w:r>
          </w:p>
        </w:tc>
      </w:tr>
    </w:tbl>
    <w:p w14:paraId="1E627381">
      <w:pPr>
        <w:spacing w:line="360" w:lineRule="auto"/>
        <w:jc w:val="center"/>
        <w:rPr>
          <w:b/>
        </w:rPr>
      </w:pPr>
    </w:p>
    <w:p w14:paraId="03EBD57F">
      <w:pPr>
        <w:pStyle w:val="34"/>
      </w:pPr>
      <w:r>
        <w:rPr>
          <w:rFonts w:hint="eastAsia"/>
        </w:rPr>
        <w:t>评标信息</w:t>
      </w:r>
    </w:p>
    <w:p w14:paraId="0680A1C3">
      <w:pPr>
        <w:pStyle w:val="40"/>
        <w:snapToGrid w:val="0"/>
        <w:spacing w:before="0" w:beforeAutospacing="0" w:afterAutospacing="0" w:line="360" w:lineRule="auto"/>
        <w:ind w:firstLine="420"/>
        <w:rPr>
          <w:rFonts w:asciiTheme="minorEastAsia" w:hAnsiTheme="minorEastAsia"/>
          <w:sz w:val="21"/>
          <w:szCs w:val="21"/>
        </w:rPr>
      </w:pPr>
      <w:r>
        <w:rPr>
          <w:rFonts w:asciiTheme="minorEastAsia" w:hAnsiTheme="minorEastAsia"/>
          <w:sz w:val="21"/>
          <w:szCs w:val="21"/>
        </w:rPr>
        <w:t xml:space="preserve">综合评分法，是指投标文件满足招标文件全部实质性要求，且按照评审因素的量化指标评审得分最高的投标人为中标候选人的评标方法。 </w:t>
      </w:r>
    </w:p>
    <w:p w14:paraId="24E76125">
      <w:pPr>
        <w:pStyle w:val="40"/>
        <w:snapToGrid w:val="0"/>
        <w:spacing w:before="0" w:beforeAutospacing="0" w:afterAutospacing="0" w:line="360" w:lineRule="auto"/>
        <w:ind w:firstLine="420"/>
        <w:rPr>
          <w:rFonts w:asciiTheme="minorEastAsia" w:hAnsiTheme="minorEastAsia"/>
          <w:sz w:val="21"/>
          <w:szCs w:val="21"/>
        </w:rPr>
      </w:pPr>
      <w:r>
        <w:rPr>
          <w:rFonts w:asciiTheme="minorEastAsia" w:hAnsiTheme="minorEastAsia"/>
          <w:sz w:val="21"/>
          <w:szCs w:val="21"/>
        </w:rPr>
        <w:t>价格分计算方法：</w:t>
      </w:r>
    </w:p>
    <w:p w14:paraId="4D9DCAC0">
      <w:pPr>
        <w:snapToGrid w:val="0"/>
        <w:spacing w:line="360" w:lineRule="auto"/>
        <w:rPr>
          <w:rFonts w:asciiTheme="minorEastAsia" w:hAnsiTheme="minorEastAsia"/>
          <w:sz w:val="21"/>
          <w:szCs w:val="21"/>
        </w:rPr>
      </w:pPr>
      <w:r>
        <w:rPr>
          <w:rFonts w:asciiTheme="minorEastAsia" w:hAnsiTheme="minorEastAsia"/>
          <w:sz w:val="21"/>
          <w:szCs w:val="21"/>
        </w:rPr>
        <w:t>采用低价优先法计算，即满足招标文件要求且投标价格最低的投标报价为评标基准价，其价格分为满分。其他投标人的价格分统一按照下列公式计算：</w:t>
      </w:r>
      <w:r>
        <w:rPr>
          <w:rFonts w:asciiTheme="minorEastAsia" w:hAnsiTheme="minorEastAsia"/>
          <w:sz w:val="21"/>
          <w:szCs w:val="21"/>
        </w:rPr>
        <w:br w:type="textWrapping"/>
      </w:r>
      <w:r>
        <w:rPr>
          <w:rFonts w:asciiTheme="minorEastAsia" w:hAnsiTheme="minorEastAsia"/>
          <w:sz w:val="21"/>
          <w:szCs w:val="21"/>
        </w:rPr>
        <w:t xml:space="preserve">投标报价得分=(评标基准价／投标报价)×100 </w:t>
      </w:r>
      <w:r>
        <w:rPr>
          <w:rFonts w:asciiTheme="minorEastAsia" w:hAnsiTheme="minorEastAsia"/>
          <w:sz w:val="21"/>
          <w:szCs w:val="21"/>
        </w:rPr>
        <w:br w:type="textWrapping"/>
      </w:r>
      <w:r>
        <w:rPr>
          <w:rFonts w:asciiTheme="minorEastAsia" w:hAnsiTheme="minorEastAsia"/>
          <w:sz w:val="21"/>
          <w:szCs w:val="21"/>
        </w:rPr>
        <w:t>评标总得分＝F1×A1＋F2×A2＋……＋Fn×An</w:t>
      </w:r>
      <w:r>
        <w:rPr>
          <w:rFonts w:asciiTheme="minorEastAsia" w:hAnsiTheme="minorEastAsia"/>
          <w:sz w:val="21"/>
          <w:szCs w:val="21"/>
        </w:rPr>
        <w:br w:type="textWrapping"/>
      </w:r>
      <w:r>
        <w:rPr>
          <w:rFonts w:asciiTheme="minorEastAsia" w:hAnsiTheme="minorEastAsia"/>
          <w:sz w:val="21"/>
          <w:szCs w:val="21"/>
        </w:rPr>
        <w:t>F1、F2……Fn分别为各项评审因素的得分；</w:t>
      </w:r>
      <w:r>
        <w:rPr>
          <w:rFonts w:asciiTheme="minorEastAsia" w:hAnsiTheme="minorEastAsia"/>
          <w:sz w:val="21"/>
          <w:szCs w:val="21"/>
        </w:rPr>
        <w:br w:type="textWrapping"/>
      </w:r>
      <w:r>
        <w:rPr>
          <w:rFonts w:asciiTheme="minorEastAsia" w:hAnsiTheme="minorEastAsia"/>
          <w:sz w:val="21"/>
          <w:szCs w:val="21"/>
        </w:rPr>
        <w:t>A1、A2、……An 分别为各项评审因素所占的权重(A1＋A2＋……＋An＝1)。</w:t>
      </w:r>
      <w:r>
        <w:rPr>
          <w:rFonts w:asciiTheme="minorEastAsia" w:hAnsiTheme="minorEastAsia"/>
          <w:sz w:val="21"/>
          <w:szCs w:val="21"/>
        </w:rPr>
        <w:br w:type="textWrapping"/>
      </w:r>
      <w:r>
        <w:rPr>
          <w:rFonts w:asciiTheme="minorEastAsia" w:hAnsiTheme="minorEastAsia"/>
          <w:sz w:val="21"/>
          <w:szCs w:val="21"/>
        </w:rPr>
        <w:t>评标过程中，不得去掉报价中的最高报价和最低报价。</w:t>
      </w:r>
      <w:r>
        <w:rPr>
          <w:rFonts w:asciiTheme="minorEastAsia" w:hAnsiTheme="minorEastAsia"/>
          <w:sz w:val="21"/>
          <w:szCs w:val="21"/>
        </w:rPr>
        <w:br w:type="textWrapping"/>
      </w:r>
      <w:r>
        <w:rPr>
          <w:rFonts w:asciiTheme="minorEastAsia" w:hAnsiTheme="minorEastAsia"/>
          <w:sz w:val="21"/>
          <w:szCs w:val="21"/>
        </w:rPr>
        <w:t>此方法适用于货物类、服务类、工程类项目。</w:t>
      </w:r>
    </w:p>
    <w:tbl>
      <w:tblPr>
        <w:tblStyle w:val="4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84"/>
        <w:gridCol w:w="589"/>
        <w:gridCol w:w="1933"/>
        <w:gridCol w:w="656"/>
        <w:gridCol w:w="5294"/>
      </w:tblGrid>
      <w:tr w14:paraId="197CA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3343B4E9">
            <w:pPr>
              <w:spacing w:line="276" w:lineRule="auto"/>
              <w:jc w:val="center"/>
              <w:rPr>
                <w:rFonts w:ascii="宋体" w:hAnsi="宋体" w:eastAsia="宋体" w:cs="宋体"/>
                <w:b/>
                <w:bCs/>
                <w:szCs w:val="21"/>
              </w:rPr>
            </w:pPr>
            <w:r>
              <w:rPr>
                <w:rFonts w:ascii="宋体" w:hAnsi="宋体" w:eastAsia="宋体" w:cs="宋体"/>
                <w:b/>
                <w:bCs/>
                <w:szCs w:val="21"/>
              </w:rPr>
              <w:t>序号</w:t>
            </w:r>
          </w:p>
        </w:tc>
        <w:tc>
          <w:tcPr>
            <w:tcW w:w="1754"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A3DEBFE">
            <w:pPr>
              <w:spacing w:line="276" w:lineRule="auto"/>
              <w:jc w:val="center"/>
              <w:rPr>
                <w:rFonts w:ascii="宋体" w:hAnsi="宋体" w:eastAsia="宋体" w:cs="宋体"/>
                <w:b/>
                <w:bCs/>
                <w:szCs w:val="21"/>
              </w:rPr>
            </w:pPr>
            <w:r>
              <w:rPr>
                <w:rFonts w:ascii="宋体" w:hAnsi="宋体" w:eastAsia="宋体" w:cs="宋体"/>
                <w:b/>
                <w:bCs/>
                <w:szCs w:val="21"/>
              </w:rPr>
              <w:t>评分项</w:t>
            </w:r>
          </w:p>
        </w:tc>
        <w:tc>
          <w:tcPr>
            <w:tcW w:w="292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0C75B7C">
            <w:pPr>
              <w:spacing w:line="276" w:lineRule="auto"/>
              <w:jc w:val="center"/>
              <w:rPr>
                <w:rFonts w:ascii="宋体" w:hAnsi="宋体" w:eastAsia="宋体" w:cs="宋体"/>
                <w:b/>
                <w:bCs/>
                <w:szCs w:val="21"/>
              </w:rPr>
            </w:pPr>
            <w:r>
              <w:rPr>
                <w:rFonts w:ascii="宋体" w:hAnsi="宋体" w:eastAsia="宋体" w:cs="宋体"/>
                <w:b/>
                <w:bCs/>
                <w:szCs w:val="21"/>
              </w:rPr>
              <w:t>权重(%)</w:t>
            </w:r>
          </w:p>
        </w:tc>
      </w:tr>
      <w:tr w14:paraId="3141B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tcBorders>
              <w:top w:val="single" w:color="000000" w:sz="8" w:space="0"/>
              <w:left w:val="single" w:color="000000" w:sz="8" w:space="0"/>
              <w:bottom w:val="single" w:color="000000" w:sz="8" w:space="0"/>
              <w:right w:val="single" w:color="000000" w:sz="8" w:space="0"/>
            </w:tcBorders>
            <w:vAlign w:val="center"/>
          </w:tcPr>
          <w:p w14:paraId="62D4ED07">
            <w:pPr>
              <w:spacing w:line="276" w:lineRule="auto"/>
              <w:rPr>
                <w:rFonts w:ascii="宋体" w:hAnsi="宋体" w:eastAsia="宋体" w:cs="宋体"/>
              </w:rPr>
            </w:pPr>
            <w:r>
              <w:rPr>
                <w:rFonts w:ascii="宋体" w:hAnsi="宋体" w:eastAsia="宋体" w:cs="宋体"/>
              </w:rPr>
              <w:t>1</w:t>
            </w:r>
          </w:p>
        </w:tc>
        <w:tc>
          <w:tcPr>
            <w:tcW w:w="1754" w:type="pct"/>
            <w:gridSpan w:val="3"/>
            <w:tcBorders>
              <w:top w:val="single" w:color="000000" w:sz="8" w:space="0"/>
              <w:left w:val="single" w:color="000000" w:sz="8" w:space="0"/>
              <w:bottom w:val="single" w:color="000000" w:sz="8" w:space="0"/>
              <w:right w:val="single" w:color="000000" w:sz="8" w:space="0"/>
            </w:tcBorders>
          </w:tcPr>
          <w:p w14:paraId="160C1C0A">
            <w:pPr>
              <w:spacing w:line="276" w:lineRule="auto"/>
              <w:jc w:val="center"/>
              <w:rPr>
                <w:rFonts w:ascii="宋体" w:hAnsi="宋体" w:eastAsia="宋体" w:cs="宋体"/>
              </w:rPr>
            </w:pPr>
            <w:r>
              <w:rPr>
                <w:rFonts w:ascii="宋体" w:hAnsi="宋体" w:eastAsia="宋体" w:cs="宋体"/>
              </w:rPr>
              <w:t>价格</w:t>
            </w:r>
          </w:p>
        </w:tc>
        <w:tc>
          <w:tcPr>
            <w:tcW w:w="2923" w:type="pct"/>
            <w:tcBorders>
              <w:top w:val="single" w:color="000000" w:sz="8" w:space="0"/>
              <w:left w:val="single" w:color="000000" w:sz="8" w:space="0"/>
              <w:bottom w:val="single" w:color="000000" w:sz="8" w:space="0"/>
              <w:right w:val="single" w:color="000000" w:sz="8" w:space="0"/>
            </w:tcBorders>
          </w:tcPr>
          <w:p w14:paraId="04AC423B">
            <w:pPr>
              <w:spacing w:line="276" w:lineRule="auto"/>
              <w:jc w:val="center"/>
              <w:rPr>
                <w:rFonts w:ascii="宋体" w:hAnsi="宋体" w:eastAsia="宋体" w:cs="宋体"/>
                <w:b/>
                <w:bCs/>
              </w:rPr>
            </w:pPr>
            <w:r>
              <w:rPr>
                <w:rFonts w:hint="eastAsia" w:ascii="宋体" w:hAnsi="宋体" w:eastAsia="宋体" w:cs="宋体"/>
                <w:b/>
                <w:bCs/>
              </w:rPr>
              <w:t>20</w:t>
            </w:r>
          </w:p>
        </w:tc>
      </w:tr>
      <w:tr w14:paraId="1BCD2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restart"/>
            <w:tcBorders>
              <w:top w:val="single" w:color="000000" w:sz="8" w:space="0"/>
              <w:left w:val="single" w:color="000000" w:sz="8" w:space="0"/>
              <w:right w:val="single" w:color="000000" w:sz="8" w:space="0"/>
            </w:tcBorders>
            <w:vAlign w:val="center"/>
          </w:tcPr>
          <w:p w14:paraId="052D04BB">
            <w:pPr>
              <w:spacing w:line="276" w:lineRule="auto"/>
              <w:rPr>
                <w:rFonts w:ascii="宋体" w:hAnsi="宋体" w:eastAsia="宋体" w:cs="宋体"/>
              </w:rPr>
            </w:pPr>
            <w:r>
              <w:rPr>
                <w:rFonts w:ascii="宋体" w:hAnsi="宋体" w:eastAsia="宋体" w:cs="宋体"/>
              </w:rPr>
              <w:t>2</w:t>
            </w:r>
          </w:p>
        </w:tc>
        <w:tc>
          <w:tcPr>
            <w:tcW w:w="1754" w:type="pct"/>
            <w:gridSpan w:val="3"/>
            <w:tcBorders>
              <w:top w:val="single" w:color="000000" w:sz="8" w:space="0"/>
              <w:left w:val="single" w:color="000000" w:sz="8" w:space="0"/>
              <w:bottom w:val="single" w:color="000000" w:sz="8" w:space="0"/>
              <w:right w:val="single" w:color="000000" w:sz="8" w:space="0"/>
            </w:tcBorders>
          </w:tcPr>
          <w:p w14:paraId="11558D00">
            <w:pPr>
              <w:spacing w:line="276" w:lineRule="auto"/>
              <w:jc w:val="center"/>
              <w:rPr>
                <w:rFonts w:ascii="宋体" w:hAnsi="宋体" w:eastAsia="宋体" w:cs="宋体"/>
              </w:rPr>
            </w:pPr>
            <w:r>
              <w:rPr>
                <w:rFonts w:ascii="宋体" w:hAnsi="宋体" w:eastAsia="宋体" w:cs="宋体"/>
              </w:rPr>
              <w:t>技术部分</w:t>
            </w:r>
          </w:p>
        </w:tc>
        <w:tc>
          <w:tcPr>
            <w:tcW w:w="2923" w:type="pct"/>
            <w:tcBorders>
              <w:top w:val="single" w:color="000000" w:sz="8" w:space="0"/>
              <w:left w:val="single" w:color="000000" w:sz="8" w:space="0"/>
              <w:bottom w:val="single" w:color="000000" w:sz="8" w:space="0"/>
              <w:right w:val="single" w:color="000000" w:sz="8" w:space="0"/>
            </w:tcBorders>
          </w:tcPr>
          <w:p w14:paraId="211105F1">
            <w:pPr>
              <w:spacing w:line="276" w:lineRule="auto"/>
              <w:jc w:val="center"/>
              <w:rPr>
                <w:rFonts w:ascii="宋体" w:hAnsi="宋体" w:eastAsia="宋体" w:cs="宋体"/>
                <w:sz w:val="28"/>
                <w:szCs w:val="28"/>
              </w:rPr>
            </w:pPr>
            <w:r>
              <w:rPr>
                <w:rFonts w:hint="eastAsia" w:ascii="宋体" w:hAnsi="宋体" w:eastAsia="宋体" w:cs="宋体"/>
                <w:b/>
                <w:bCs/>
              </w:rPr>
              <w:t>55</w:t>
            </w:r>
          </w:p>
        </w:tc>
      </w:tr>
      <w:tr w14:paraId="57C84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shd w:val="clear" w:color="auto" w:fill="E6EFFA"/>
            <w:vAlign w:val="center"/>
          </w:tcPr>
          <w:p w14:paraId="27DFB2CE">
            <w:pPr>
              <w:spacing w:line="276" w:lineRule="auto"/>
              <w:ind w:firstLine="2310"/>
              <w:rPr>
                <w:rFonts w:ascii="宋体" w:hAnsi="宋体" w:eastAsia="宋体" w:cs="宋体"/>
                <w:b/>
                <w:bCs/>
                <w:color w:val="0000FF"/>
                <w:szCs w:val="21"/>
              </w:rPr>
            </w:pPr>
          </w:p>
        </w:tc>
        <w:tc>
          <w:tcPr>
            <w:tcW w:w="3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69B3CA7">
            <w:pPr>
              <w:spacing w:line="276" w:lineRule="auto"/>
              <w:jc w:val="center"/>
              <w:rPr>
                <w:rFonts w:ascii="宋体" w:hAnsi="宋体" w:eastAsia="宋体" w:cs="宋体"/>
                <w:szCs w:val="21"/>
              </w:rPr>
            </w:pPr>
            <w:r>
              <w:rPr>
                <w:rFonts w:hint="eastAsia" w:ascii="宋体" w:hAnsi="宋体" w:eastAsia="宋体" w:cs="宋体"/>
                <w:szCs w:val="21"/>
              </w:rPr>
              <w:t>序号</w:t>
            </w:r>
          </w:p>
        </w:tc>
        <w:tc>
          <w:tcPr>
            <w:tcW w:w="1067"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423E307C">
            <w:pPr>
              <w:spacing w:line="276" w:lineRule="auto"/>
              <w:jc w:val="center"/>
              <w:rPr>
                <w:rFonts w:ascii="宋体" w:hAnsi="宋体" w:eastAsia="宋体" w:cs="宋体"/>
                <w:szCs w:val="21"/>
              </w:rPr>
            </w:pPr>
            <w:r>
              <w:rPr>
                <w:rFonts w:hint="eastAsia" w:ascii="宋体" w:hAnsi="宋体" w:eastAsia="宋体" w:cs="宋体"/>
                <w:szCs w:val="21"/>
              </w:rPr>
              <w:t>评分因素</w:t>
            </w:r>
          </w:p>
        </w:tc>
        <w:tc>
          <w:tcPr>
            <w:tcW w:w="362"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76C5043">
            <w:pPr>
              <w:spacing w:line="276" w:lineRule="auto"/>
              <w:jc w:val="center"/>
              <w:rPr>
                <w:rFonts w:ascii="宋体" w:hAnsi="宋体" w:eastAsia="宋体" w:cs="宋体"/>
                <w:szCs w:val="21"/>
              </w:rPr>
            </w:pPr>
            <w:r>
              <w:rPr>
                <w:rFonts w:hint="eastAsia" w:ascii="宋体" w:hAnsi="宋体" w:eastAsia="宋体" w:cs="宋体"/>
                <w:szCs w:val="21"/>
              </w:rPr>
              <w:t>权重(%)</w:t>
            </w:r>
          </w:p>
        </w:tc>
        <w:tc>
          <w:tcPr>
            <w:tcW w:w="292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4FC1E2C">
            <w:pPr>
              <w:spacing w:line="276" w:lineRule="auto"/>
              <w:jc w:val="center"/>
              <w:rPr>
                <w:rFonts w:ascii="宋体" w:hAnsi="宋体" w:eastAsia="宋体" w:cs="宋体"/>
                <w:szCs w:val="21"/>
              </w:rPr>
            </w:pPr>
            <w:r>
              <w:rPr>
                <w:rFonts w:hint="eastAsia" w:ascii="宋体" w:hAnsi="宋体" w:eastAsia="宋体" w:cs="宋体"/>
                <w:szCs w:val="21"/>
              </w:rPr>
              <w:t>评分准则</w:t>
            </w:r>
          </w:p>
        </w:tc>
      </w:tr>
      <w:tr w14:paraId="70951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5410996B">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4E882135">
            <w:pPr>
              <w:spacing w:line="276" w:lineRule="auto"/>
              <w:jc w:val="center"/>
              <w:rPr>
                <w:rFonts w:ascii="宋体" w:hAnsi="宋体" w:eastAsia="宋体" w:cs="宋体"/>
                <w:szCs w:val="21"/>
              </w:rPr>
            </w:pPr>
            <w:r>
              <w:rPr>
                <w:rFonts w:hint="eastAsia" w:ascii="宋体" w:hAnsi="宋体" w:eastAsia="宋体" w:cs="宋体"/>
                <w:szCs w:val="21"/>
              </w:rPr>
              <w:t>1</w:t>
            </w:r>
          </w:p>
        </w:tc>
        <w:tc>
          <w:tcPr>
            <w:tcW w:w="1067" w:type="pct"/>
            <w:tcBorders>
              <w:top w:val="single" w:color="000000" w:sz="8" w:space="0"/>
              <w:left w:val="single" w:color="000000" w:sz="8" w:space="0"/>
              <w:bottom w:val="single" w:color="000000" w:sz="8" w:space="0"/>
              <w:right w:val="single" w:color="000000" w:sz="8" w:space="0"/>
            </w:tcBorders>
            <w:vAlign w:val="center"/>
          </w:tcPr>
          <w:p w14:paraId="5D157620">
            <w:pPr>
              <w:wordWrap w:val="0"/>
              <w:spacing w:line="360" w:lineRule="auto"/>
              <w:jc w:val="center"/>
              <w:rPr>
                <w:rFonts w:ascii="宋体" w:hAnsi="宋体" w:cs="宋体"/>
                <w:szCs w:val="21"/>
              </w:rPr>
            </w:pPr>
            <w:r>
              <w:rPr>
                <w:rFonts w:hint="eastAsia" w:ascii="宋体" w:hAnsi="宋体" w:cs="宋体"/>
                <w:szCs w:val="21"/>
              </w:rPr>
              <w:t>项目总体概述及理解</w:t>
            </w:r>
          </w:p>
        </w:tc>
        <w:tc>
          <w:tcPr>
            <w:tcW w:w="362" w:type="pct"/>
            <w:tcBorders>
              <w:top w:val="single" w:color="000000" w:sz="8" w:space="0"/>
              <w:left w:val="single" w:color="000000" w:sz="8" w:space="0"/>
              <w:bottom w:val="single" w:color="000000" w:sz="8" w:space="0"/>
              <w:right w:val="single" w:color="000000" w:sz="8" w:space="0"/>
            </w:tcBorders>
            <w:vAlign w:val="center"/>
          </w:tcPr>
          <w:p w14:paraId="5BC942B6">
            <w:pPr>
              <w:wordWrap w:val="0"/>
              <w:spacing w:line="360" w:lineRule="auto"/>
              <w:jc w:val="center"/>
              <w:rPr>
                <w:rFonts w:ascii="宋体" w:hAnsi="宋体" w:cs="宋体"/>
                <w:szCs w:val="21"/>
              </w:rPr>
            </w:pPr>
            <w:r>
              <w:rPr>
                <w:rFonts w:hint="eastAsia" w:ascii="宋体" w:hAnsi="宋体" w:cs="宋体"/>
                <w:szCs w:val="21"/>
              </w:rPr>
              <w:t>10</w:t>
            </w:r>
          </w:p>
        </w:tc>
        <w:tc>
          <w:tcPr>
            <w:tcW w:w="2923" w:type="pct"/>
            <w:tcBorders>
              <w:top w:val="single" w:color="000000" w:sz="8" w:space="0"/>
              <w:left w:val="single" w:color="000000" w:sz="8" w:space="0"/>
              <w:bottom w:val="single" w:color="000000" w:sz="8" w:space="0"/>
              <w:right w:val="single" w:color="000000" w:sz="8" w:space="0"/>
            </w:tcBorders>
          </w:tcPr>
          <w:p w14:paraId="3A23D202">
            <w:pPr>
              <w:wordWrap w:val="0"/>
              <w:spacing w:line="360" w:lineRule="auto"/>
              <w:rPr>
                <w:rFonts w:ascii="宋体" w:hAnsi="宋体" w:cs="宋体"/>
                <w:szCs w:val="21"/>
              </w:rPr>
            </w:pPr>
            <w:r>
              <w:rPr>
                <w:rFonts w:hint="eastAsia" w:ascii="宋体" w:hAnsi="宋体" w:cs="宋体"/>
                <w:szCs w:val="21"/>
              </w:rPr>
              <w:t>（一）评分内容：</w:t>
            </w:r>
          </w:p>
          <w:p w14:paraId="7E2FD3D9">
            <w:pPr>
              <w:wordWrap w:val="0"/>
              <w:spacing w:line="360" w:lineRule="auto"/>
              <w:rPr>
                <w:rFonts w:ascii="宋体" w:hAnsi="宋体" w:cs="宋体"/>
                <w:szCs w:val="21"/>
              </w:rPr>
            </w:pPr>
            <w:r>
              <w:rPr>
                <w:rFonts w:hint="eastAsia" w:ascii="宋体" w:hAnsi="宋体" w:cs="宋体"/>
                <w:szCs w:val="21"/>
              </w:rPr>
              <w:t>投标文件中项目总体概述及理解评审内容包括：</w:t>
            </w:r>
          </w:p>
          <w:p w14:paraId="08834AE0">
            <w:pPr>
              <w:wordWrap w:val="0"/>
              <w:spacing w:line="360" w:lineRule="auto"/>
              <w:rPr>
                <w:rFonts w:ascii="宋体" w:hAnsi="宋体" w:cs="宋体"/>
                <w:szCs w:val="21"/>
              </w:rPr>
            </w:pPr>
            <w:r>
              <w:rPr>
                <w:rFonts w:hint="eastAsia" w:ascii="宋体" w:hAnsi="宋体" w:cs="宋体"/>
                <w:szCs w:val="21"/>
              </w:rPr>
              <w:t>1、对项目的理解；</w:t>
            </w:r>
          </w:p>
          <w:p w14:paraId="1C50ADB3">
            <w:pPr>
              <w:wordWrap w:val="0"/>
              <w:spacing w:line="360" w:lineRule="auto"/>
              <w:rPr>
                <w:rFonts w:ascii="宋体" w:hAnsi="宋体" w:cs="宋体"/>
                <w:szCs w:val="21"/>
              </w:rPr>
            </w:pPr>
            <w:r>
              <w:rPr>
                <w:rFonts w:hint="eastAsia" w:ascii="宋体" w:hAnsi="宋体" w:cs="宋体"/>
                <w:szCs w:val="21"/>
              </w:rPr>
              <w:t>2、对项目发展现状及相关规划理解；</w:t>
            </w:r>
          </w:p>
          <w:p w14:paraId="41AC3C28">
            <w:pPr>
              <w:wordWrap w:val="0"/>
              <w:spacing w:line="360" w:lineRule="auto"/>
              <w:rPr>
                <w:rFonts w:ascii="宋体" w:hAnsi="宋体" w:cs="宋体"/>
                <w:szCs w:val="21"/>
              </w:rPr>
            </w:pPr>
            <w:r>
              <w:rPr>
                <w:rFonts w:hint="eastAsia" w:ascii="宋体" w:hAnsi="宋体" w:cs="宋体"/>
                <w:szCs w:val="21"/>
              </w:rPr>
              <w:t>3、组织实施的总体思路和综合措施。</w:t>
            </w:r>
          </w:p>
          <w:p w14:paraId="7A25633F">
            <w:pPr>
              <w:wordWrap w:val="0"/>
              <w:spacing w:line="360" w:lineRule="auto"/>
              <w:rPr>
                <w:rFonts w:ascii="宋体" w:hAnsi="宋体" w:cs="宋体"/>
                <w:szCs w:val="21"/>
              </w:rPr>
            </w:pPr>
            <w:r>
              <w:rPr>
                <w:rFonts w:hint="eastAsia" w:ascii="宋体" w:hAnsi="宋体" w:cs="宋体"/>
                <w:szCs w:val="21"/>
              </w:rPr>
              <w:t>（二）评分标准：</w:t>
            </w:r>
          </w:p>
          <w:p w14:paraId="228D1001">
            <w:pPr>
              <w:wordWrap w:val="0"/>
              <w:spacing w:line="360" w:lineRule="auto"/>
              <w:rPr>
                <w:rFonts w:ascii="宋体" w:hAnsi="宋体" w:cs="宋体"/>
                <w:szCs w:val="21"/>
              </w:rPr>
            </w:pPr>
            <w:r>
              <w:rPr>
                <w:rFonts w:hint="eastAsia" w:ascii="宋体" w:hAnsi="宋体" w:cs="宋体"/>
                <w:szCs w:val="21"/>
              </w:rPr>
              <w:t>1、满足以上三项要求的得50分，满足任意两项要求的得25分，满足任意一项要求的得6.25分，其他情况不得分。</w:t>
            </w:r>
          </w:p>
          <w:p w14:paraId="1FBDB0F2">
            <w:pPr>
              <w:wordWrap w:val="0"/>
              <w:spacing w:line="360" w:lineRule="auto"/>
              <w:rPr>
                <w:rFonts w:ascii="宋体" w:hAnsi="宋体" w:cs="宋体"/>
                <w:szCs w:val="21"/>
              </w:rPr>
            </w:pPr>
            <w:r>
              <w:rPr>
                <w:rFonts w:hint="eastAsia" w:ascii="宋体" w:hAnsi="宋体" w:cs="宋体"/>
                <w:szCs w:val="21"/>
              </w:rPr>
              <w:t xml:space="preserve">2、在此基础上，按照下列要求进行加分： </w:t>
            </w:r>
          </w:p>
          <w:p w14:paraId="0A313E3D">
            <w:pPr>
              <w:wordWrap w:val="0"/>
              <w:spacing w:line="360" w:lineRule="auto"/>
              <w:rPr>
                <w:rFonts w:ascii="宋体" w:hAnsi="宋体" w:cs="宋体"/>
                <w:szCs w:val="21"/>
              </w:rPr>
            </w:pPr>
            <w:r>
              <w:rPr>
                <w:rFonts w:hint="eastAsia" w:ascii="宋体" w:hAnsi="宋体" w:cs="宋体"/>
                <w:szCs w:val="21"/>
              </w:rPr>
              <w:t xml:space="preserve">（1）有具体的发展规划及实施措施； </w:t>
            </w:r>
          </w:p>
          <w:p w14:paraId="7AF35360">
            <w:pPr>
              <w:wordWrap w:val="0"/>
              <w:spacing w:line="360" w:lineRule="auto"/>
              <w:rPr>
                <w:rFonts w:ascii="宋体" w:hAnsi="宋体" w:cs="宋体"/>
                <w:szCs w:val="21"/>
              </w:rPr>
            </w:pPr>
            <w:r>
              <w:rPr>
                <w:rFonts w:hint="eastAsia" w:ascii="宋体" w:hAnsi="宋体" w:cs="宋体"/>
                <w:szCs w:val="21"/>
              </w:rPr>
              <w:t xml:space="preserve">（2）从多角度分析项目背景及发展规划； </w:t>
            </w:r>
          </w:p>
          <w:p w14:paraId="74A05D00">
            <w:pPr>
              <w:wordWrap w:val="0"/>
              <w:spacing w:line="360" w:lineRule="auto"/>
              <w:rPr>
                <w:rFonts w:ascii="宋体" w:hAnsi="宋体" w:cs="宋体"/>
                <w:szCs w:val="21"/>
              </w:rPr>
            </w:pPr>
            <w:r>
              <w:rPr>
                <w:rFonts w:hint="eastAsia" w:ascii="宋体" w:hAnsi="宋体" w:cs="宋体"/>
                <w:szCs w:val="21"/>
              </w:rPr>
              <w:t>每体现一点内容加25分，最多加50分。</w:t>
            </w:r>
          </w:p>
        </w:tc>
      </w:tr>
      <w:tr w14:paraId="40C40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38264DFA">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744A0123">
            <w:pPr>
              <w:spacing w:line="276" w:lineRule="auto"/>
              <w:jc w:val="center"/>
              <w:rPr>
                <w:rFonts w:ascii="宋体" w:hAnsi="宋体" w:eastAsia="宋体" w:cs="宋体"/>
                <w:szCs w:val="21"/>
              </w:rPr>
            </w:pPr>
            <w:r>
              <w:rPr>
                <w:rFonts w:ascii="宋体" w:hAnsi="宋体" w:eastAsia="宋体" w:cs="宋体"/>
                <w:szCs w:val="21"/>
              </w:rPr>
              <w:t>2</w:t>
            </w:r>
          </w:p>
        </w:tc>
        <w:tc>
          <w:tcPr>
            <w:tcW w:w="1067" w:type="pct"/>
            <w:tcBorders>
              <w:top w:val="single" w:color="000000" w:sz="8" w:space="0"/>
              <w:left w:val="single" w:color="000000" w:sz="8" w:space="0"/>
              <w:bottom w:val="single" w:color="000000" w:sz="8" w:space="0"/>
              <w:right w:val="single" w:color="000000" w:sz="8" w:space="0"/>
            </w:tcBorders>
            <w:vAlign w:val="center"/>
          </w:tcPr>
          <w:p w14:paraId="4B8DF322">
            <w:pPr>
              <w:wordWrap w:val="0"/>
              <w:spacing w:line="360" w:lineRule="auto"/>
              <w:jc w:val="center"/>
              <w:rPr>
                <w:rFonts w:ascii="宋体" w:hAnsi="宋体" w:cs="宋体"/>
                <w:szCs w:val="21"/>
              </w:rPr>
            </w:pPr>
            <w:r>
              <w:rPr>
                <w:rFonts w:hint="eastAsia" w:ascii="宋体" w:hAnsi="宋体" w:cs="宋体"/>
                <w:szCs w:val="21"/>
              </w:rPr>
              <w:t>施工组织计划、施工技术、施工工艺及相关的合理施工方案</w:t>
            </w:r>
          </w:p>
        </w:tc>
        <w:tc>
          <w:tcPr>
            <w:tcW w:w="362" w:type="pct"/>
            <w:tcBorders>
              <w:top w:val="single" w:color="000000" w:sz="8" w:space="0"/>
              <w:left w:val="single" w:color="000000" w:sz="8" w:space="0"/>
              <w:bottom w:val="single" w:color="000000" w:sz="8" w:space="0"/>
              <w:right w:val="single" w:color="000000" w:sz="8" w:space="0"/>
            </w:tcBorders>
            <w:vAlign w:val="center"/>
          </w:tcPr>
          <w:p w14:paraId="6F97E78C">
            <w:pPr>
              <w:wordWrap w:val="0"/>
              <w:spacing w:line="360" w:lineRule="auto"/>
              <w:jc w:val="center"/>
              <w:rPr>
                <w:rFonts w:ascii="宋体" w:hAnsi="宋体" w:cs="宋体"/>
                <w:szCs w:val="21"/>
              </w:rPr>
            </w:pPr>
            <w:r>
              <w:rPr>
                <w:rFonts w:hint="eastAsia" w:ascii="宋体" w:hAnsi="宋体" w:cs="宋体"/>
                <w:szCs w:val="21"/>
              </w:rPr>
              <w:t>10</w:t>
            </w:r>
          </w:p>
        </w:tc>
        <w:tc>
          <w:tcPr>
            <w:tcW w:w="2923" w:type="pct"/>
            <w:tcBorders>
              <w:top w:val="single" w:color="000000" w:sz="8" w:space="0"/>
              <w:left w:val="single" w:color="000000" w:sz="8" w:space="0"/>
              <w:bottom w:val="single" w:color="000000" w:sz="8" w:space="0"/>
              <w:right w:val="single" w:color="000000" w:sz="8" w:space="0"/>
            </w:tcBorders>
          </w:tcPr>
          <w:p w14:paraId="0630901F">
            <w:pPr>
              <w:wordWrap w:val="0"/>
              <w:spacing w:line="360" w:lineRule="auto"/>
              <w:rPr>
                <w:rFonts w:ascii="宋体" w:hAnsi="宋体" w:cs="宋体"/>
                <w:szCs w:val="21"/>
              </w:rPr>
            </w:pPr>
            <w:r>
              <w:rPr>
                <w:rFonts w:hint="eastAsia" w:ascii="宋体" w:hAnsi="宋体" w:cs="宋体"/>
                <w:szCs w:val="21"/>
              </w:rPr>
              <w:t>（一）评分内容：</w:t>
            </w:r>
          </w:p>
          <w:p w14:paraId="6E547702">
            <w:pPr>
              <w:wordWrap w:val="0"/>
              <w:spacing w:line="360" w:lineRule="auto"/>
              <w:rPr>
                <w:rFonts w:ascii="宋体" w:hAnsi="宋体" w:cs="宋体"/>
                <w:szCs w:val="21"/>
              </w:rPr>
            </w:pPr>
            <w:r>
              <w:rPr>
                <w:rFonts w:hint="eastAsia" w:ascii="宋体" w:hAnsi="宋体" w:cs="宋体"/>
                <w:szCs w:val="21"/>
              </w:rPr>
              <w:t>评审专家根据投标人提供的施工组织计划、施工技术、施工工艺及相关的合理施工方案进行评审，方案应包括但不限于：</w:t>
            </w:r>
          </w:p>
          <w:p w14:paraId="6554D536">
            <w:pPr>
              <w:wordWrap w:val="0"/>
              <w:spacing w:line="360" w:lineRule="auto"/>
              <w:rPr>
                <w:rFonts w:ascii="宋体" w:hAnsi="宋体" w:cs="宋体"/>
                <w:szCs w:val="21"/>
              </w:rPr>
            </w:pPr>
            <w:r>
              <w:rPr>
                <w:rFonts w:hint="eastAsia" w:ascii="宋体" w:hAnsi="宋体" w:cs="宋体"/>
                <w:szCs w:val="21"/>
              </w:rPr>
              <w:t>1、施工组织计划；</w:t>
            </w:r>
          </w:p>
          <w:p w14:paraId="26F3A627">
            <w:pPr>
              <w:wordWrap w:val="0"/>
              <w:spacing w:line="360" w:lineRule="auto"/>
              <w:rPr>
                <w:rFonts w:ascii="宋体" w:hAnsi="宋体" w:cs="宋体"/>
                <w:szCs w:val="21"/>
              </w:rPr>
            </w:pPr>
            <w:r>
              <w:rPr>
                <w:rFonts w:hint="eastAsia" w:ascii="宋体" w:hAnsi="宋体" w:cs="宋体"/>
                <w:szCs w:val="21"/>
              </w:rPr>
              <w:t>2、施工技术；</w:t>
            </w:r>
          </w:p>
          <w:p w14:paraId="2F7FE246">
            <w:pPr>
              <w:wordWrap w:val="0"/>
              <w:spacing w:line="360" w:lineRule="auto"/>
              <w:rPr>
                <w:rFonts w:ascii="宋体" w:hAnsi="宋体" w:cs="宋体"/>
                <w:szCs w:val="21"/>
              </w:rPr>
            </w:pPr>
            <w:r>
              <w:rPr>
                <w:rFonts w:hint="eastAsia" w:ascii="宋体" w:hAnsi="宋体" w:cs="宋体"/>
                <w:szCs w:val="21"/>
              </w:rPr>
              <w:t>3、施工工艺；</w:t>
            </w:r>
          </w:p>
          <w:p w14:paraId="7C999465">
            <w:pPr>
              <w:wordWrap w:val="0"/>
              <w:spacing w:line="360" w:lineRule="auto"/>
              <w:rPr>
                <w:rFonts w:ascii="宋体" w:hAnsi="宋体" w:cs="宋体"/>
                <w:szCs w:val="21"/>
              </w:rPr>
            </w:pPr>
            <w:r>
              <w:rPr>
                <w:rFonts w:hint="eastAsia" w:ascii="宋体" w:hAnsi="宋体" w:cs="宋体"/>
                <w:szCs w:val="21"/>
              </w:rPr>
              <w:t>4、相关的合理施工方案。</w:t>
            </w:r>
          </w:p>
          <w:p w14:paraId="3D613343">
            <w:pPr>
              <w:wordWrap w:val="0"/>
              <w:spacing w:line="360" w:lineRule="auto"/>
              <w:rPr>
                <w:rFonts w:ascii="宋体" w:hAnsi="宋体" w:cs="宋体"/>
                <w:szCs w:val="21"/>
              </w:rPr>
            </w:pPr>
            <w:r>
              <w:rPr>
                <w:rFonts w:hint="eastAsia" w:ascii="宋体" w:hAnsi="宋体" w:cs="宋体"/>
                <w:szCs w:val="21"/>
              </w:rPr>
              <w:t>（二）评分标准：</w:t>
            </w:r>
          </w:p>
          <w:p w14:paraId="7CA7FA42">
            <w:pPr>
              <w:wordWrap w:val="0"/>
              <w:spacing w:line="360" w:lineRule="auto"/>
              <w:rPr>
                <w:rFonts w:ascii="宋体" w:hAnsi="宋体" w:cs="宋体"/>
                <w:szCs w:val="21"/>
              </w:rPr>
            </w:pPr>
            <w:r>
              <w:rPr>
                <w:rFonts w:hint="eastAsia" w:ascii="宋体" w:hAnsi="宋体" w:cs="宋体"/>
                <w:szCs w:val="21"/>
              </w:rPr>
              <w:t>1、满足以上四项要求的得50分，满足任意三项要求的得25分，满足任意两项要求的得12.5分，其他情况不得分。</w:t>
            </w:r>
          </w:p>
          <w:p w14:paraId="266CF42A">
            <w:pPr>
              <w:wordWrap w:val="0"/>
              <w:spacing w:line="360" w:lineRule="auto"/>
              <w:rPr>
                <w:rFonts w:ascii="宋体" w:hAnsi="宋体" w:cs="宋体"/>
                <w:szCs w:val="21"/>
              </w:rPr>
            </w:pPr>
            <w:r>
              <w:rPr>
                <w:rFonts w:hint="eastAsia" w:ascii="宋体" w:hAnsi="宋体" w:cs="宋体"/>
                <w:szCs w:val="21"/>
              </w:rPr>
              <w:t>2、在此基础上，专家根据下列内容进一步评审：</w:t>
            </w:r>
          </w:p>
          <w:p w14:paraId="439B0020">
            <w:pPr>
              <w:wordWrap w:val="0"/>
              <w:spacing w:line="360" w:lineRule="auto"/>
              <w:rPr>
                <w:rFonts w:ascii="宋体" w:hAnsi="宋体" w:cs="宋体"/>
                <w:szCs w:val="21"/>
              </w:rPr>
            </w:pPr>
            <w:r>
              <w:rPr>
                <w:rFonts w:hint="eastAsia" w:ascii="宋体" w:hAnsi="宋体" w:cs="宋体"/>
                <w:szCs w:val="21"/>
              </w:rPr>
              <w:t>（1）有具体的时间节点和步骤；</w:t>
            </w:r>
          </w:p>
          <w:p w14:paraId="413D9CCD">
            <w:pPr>
              <w:wordWrap w:val="0"/>
              <w:spacing w:line="360" w:lineRule="auto"/>
              <w:rPr>
                <w:rFonts w:ascii="宋体" w:hAnsi="宋体" w:cs="宋体"/>
                <w:szCs w:val="21"/>
              </w:rPr>
            </w:pPr>
            <w:r>
              <w:rPr>
                <w:rFonts w:hint="eastAsia" w:ascii="宋体" w:hAnsi="宋体" w:cs="宋体"/>
                <w:szCs w:val="21"/>
              </w:rPr>
              <w:t>（2）有具体的人员安排及明确的分工；</w:t>
            </w:r>
          </w:p>
          <w:p w14:paraId="65F52C81">
            <w:pPr>
              <w:wordWrap w:val="0"/>
              <w:spacing w:line="360" w:lineRule="auto"/>
              <w:rPr>
                <w:rFonts w:ascii="宋体" w:hAnsi="宋体" w:cs="宋体"/>
                <w:szCs w:val="21"/>
              </w:rPr>
            </w:pPr>
            <w:r>
              <w:rPr>
                <w:rFonts w:hint="eastAsia" w:ascii="宋体" w:hAnsi="宋体" w:cs="宋体"/>
                <w:szCs w:val="21"/>
              </w:rPr>
              <w:t>（3）对突发情况有具体的应对措施。</w:t>
            </w:r>
          </w:p>
          <w:p w14:paraId="2E0EA8A9">
            <w:pPr>
              <w:wordWrap w:val="0"/>
              <w:spacing w:line="360" w:lineRule="auto"/>
              <w:rPr>
                <w:rFonts w:ascii="宋体" w:hAnsi="宋体" w:cs="宋体"/>
                <w:szCs w:val="21"/>
              </w:rPr>
            </w:pPr>
            <w:r>
              <w:rPr>
                <w:rFonts w:hint="eastAsia" w:ascii="宋体" w:hAnsi="宋体" w:cs="宋体"/>
                <w:szCs w:val="21"/>
              </w:rPr>
              <w:t>满足以上三项要求加50分，满足以上任意两项要求加25分，满足以上任意一项要求加16分，其它情况不得分。</w:t>
            </w:r>
          </w:p>
        </w:tc>
      </w:tr>
      <w:tr w14:paraId="16716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39C1B7DF">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128CC2D4">
            <w:pPr>
              <w:spacing w:line="276" w:lineRule="auto"/>
              <w:jc w:val="center"/>
              <w:rPr>
                <w:rFonts w:ascii="宋体" w:hAnsi="宋体" w:eastAsia="宋体" w:cs="宋体"/>
                <w:szCs w:val="21"/>
              </w:rPr>
            </w:pPr>
            <w:r>
              <w:rPr>
                <w:rFonts w:ascii="宋体" w:hAnsi="宋体" w:eastAsia="宋体" w:cs="宋体"/>
                <w:szCs w:val="21"/>
              </w:rPr>
              <w:t>3</w:t>
            </w:r>
          </w:p>
        </w:tc>
        <w:tc>
          <w:tcPr>
            <w:tcW w:w="1067" w:type="pct"/>
            <w:tcBorders>
              <w:top w:val="single" w:color="000000" w:sz="8" w:space="0"/>
              <w:left w:val="single" w:color="000000" w:sz="8" w:space="0"/>
              <w:bottom w:val="single" w:color="000000" w:sz="8" w:space="0"/>
              <w:right w:val="single" w:color="000000" w:sz="8" w:space="0"/>
            </w:tcBorders>
            <w:vAlign w:val="center"/>
          </w:tcPr>
          <w:p w14:paraId="3E7A193B">
            <w:pPr>
              <w:wordWrap w:val="0"/>
              <w:spacing w:line="360" w:lineRule="auto"/>
              <w:jc w:val="center"/>
              <w:rPr>
                <w:rFonts w:ascii="宋体" w:hAnsi="宋体" w:cs="宋体"/>
                <w:szCs w:val="21"/>
              </w:rPr>
            </w:pPr>
            <w:r>
              <w:rPr>
                <w:rFonts w:hint="eastAsia" w:ascii="宋体" w:hAnsi="宋体" w:cs="宋体"/>
                <w:szCs w:val="21"/>
              </w:rPr>
              <w:t>施工质量（安全、环保、工期及售后服务等）保障措施及相关的违约承诺</w:t>
            </w:r>
          </w:p>
        </w:tc>
        <w:tc>
          <w:tcPr>
            <w:tcW w:w="362" w:type="pct"/>
            <w:tcBorders>
              <w:top w:val="single" w:color="000000" w:sz="8" w:space="0"/>
              <w:left w:val="single" w:color="000000" w:sz="8" w:space="0"/>
              <w:bottom w:val="single" w:color="000000" w:sz="8" w:space="0"/>
              <w:right w:val="single" w:color="000000" w:sz="8" w:space="0"/>
            </w:tcBorders>
            <w:vAlign w:val="center"/>
          </w:tcPr>
          <w:p w14:paraId="6AEDD8CB">
            <w:pPr>
              <w:wordWrap w:val="0"/>
              <w:spacing w:line="360" w:lineRule="auto"/>
              <w:jc w:val="center"/>
              <w:rPr>
                <w:rFonts w:ascii="宋体" w:hAnsi="宋体" w:cs="宋体"/>
                <w:szCs w:val="21"/>
              </w:rPr>
            </w:pPr>
            <w:r>
              <w:rPr>
                <w:rFonts w:hint="eastAsia" w:ascii="宋体" w:hAnsi="宋体" w:cs="宋体"/>
                <w:szCs w:val="21"/>
              </w:rPr>
              <w:t>10</w:t>
            </w:r>
          </w:p>
        </w:tc>
        <w:tc>
          <w:tcPr>
            <w:tcW w:w="2923" w:type="pct"/>
            <w:tcBorders>
              <w:top w:val="single" w:color="000000" w:sz="8" w:space="0"/>
              <w:left w:val="single" w:color="000000" w:sz="8" w:space="0"/>
              <w:bottom w:val="single" w:color="000000" w:sz="8" w:space="0"/>
              <w:right w:val="single" w:color="000000" w:sz="8" w:space="0"/>
            </w:tcBorders>
          </w:tcPr>
          <w:p w14:paraId="361FBBB1">
            <w:pPr>
              <w:wordWrap w:val="0"/>
              <w:spacing w:line="360" w:lineRule="auto"/>
              <w:rPr>
                <w:rFonts w:ascii="宋体" w:hAnsi="宋体" w:cs="宋体"/>
                <w:szCs w:val="21"/>
              </w:rPr>
            </w:pPr>
            <w:r>
              <w:rPr>
                <w:rFonts w:hint="eastAsia" w:ascii="宋体" w:hAnsi="宋体" w:cs="宋体"/>
                <w:szCs w:val="21"/>
              </w:rPr>
              <w:t>（一）评分内容：</w:t>
            </w:r>
          </w:p>
          <w:p w14:paraId="0927A0CB">
            <w:pPr>
              <w:wordWrap w:val="0"/>
              <w:spacing w:line="360" w:lineRule="auto"/>
              <w:rPr>
                <w:rFonts w:ascii="宋体" w:hAnsi="宋体" w:cs="宋体"/>
                <w:szCs w:val="21"/>
              </w:rPr>
            </w:pPr>
            <w:r>
              <w:rPr>
                <w:rFonts w:hint="eastAsia" w:ascii="宋体" w:hAnsi="宋体" w:cs="宋体"/>
                <w:szCs w:val="21"/>
              </w:rPr>
              <w:t>投标人应详细阐述施工质量（安全、环保、工期及售后服务等）保障措施及相关的违约承诺，包括但不限于：</w:t>
            </w:r>
          </w:p>
          <w:p w14:paraId="032BE8A0">
            <w:pPr>
              <w:wordWrap w:val="0"/>
              <w:spacing w:line="360" w:lineRule="auto"/>
              <w:rPr>
                <w:rFonts w:ascii="宋体" w:hAnsi="宋体" w:cs="宋体"/>
                <w:szCs w:val="21"/>
              </w:rPr>
            </w:pPr>
            <w:r>
              <w:rPr>
                <w:rFonts w:hint="eastAsia" w:ascii="宋体" w:hAnsi="宋体" w:cs="宋体"/>
                <w:szCs w:val="21"/>
              </w:rPr>
              <w:t>1、安全文明施工措施、环保、施工工期承诺、售后服务等；</w:t>
            </w:r>
          </w:p>
          <w:p w14:paraId="0C31BDCC">
            <w:pPr>
              <w:wordWrap w:val="0"/>
              <w:spacing w:line="360" w:lineRule="auto"/>
              <w:rPr>
                <w:rFonts w:ascii="宋体" w:hAnsi="宋体" w:cs="宋体"/>
                <w:szCs w:val="21"/>
              </w:rPr>
            </w:pPr>
            <w:r>
              <w:rPr>
                <w:rFonts w:hint="eastAsia" w:ascii="宋体" w:hAnsi="宋体" w:cs="宋体"/>
                <w:szCs w:val="21"/>
              </w:rPr>
              <w:t>2、提供优质施工保证建议；</w:t>
            </w:r>
          </w:p>
          <w:p w14:paraId="3F612C02">
            <w:pPr>
              <w:wordWrap w:val="0"/>
              <w:spacing w:line="360" w:lineRule="auto"/>
              <w:rPr>
                <w:rFonts w:ascii="宋体" w:hAnsi="宋体" w:cs="宋体"/>
                <w:szCs w:val="21"/>
              </w:rPr>
            </w:pPr>
            <w:r>
              <w:rPr>
                <w:rFonts w:hint="eastAsia" w:ascii="宋体" w:hAnsi="宋体" w:cs="宋体"/>
                <w:szCs w:val="21"/>
              </w:rPr>
              <w:t>3、可能发生的相应的违约经济赔偿承诺（需提供承诺函，格式自拟）。</w:t>
            </w:r>
          </w:p>
          <w:p w14:paraId="36160693">
            <w:pPr>
              <w:wordWrap w:val="0"/>
              <w:spacing w:line="360" w:lineRule="auto"/>
              <w:rPr>
                <w:rFonts w:ascii="宋体" w:hAnsi="宋体" w:cs="宋体"/>
                <w:szCs w:val="21"/>
              </w:rPr>
            </w:pPr>
            <w:r>
              <w:rPr>
                <w:rFonts w:hint="eastAsia" w:ascii="宋体" w:hAnsi="宋体" w:cs="宋体"/>
                <w:szCs w:val="21"/>
              </w:rPr>
              <w:t>（二）评分标准：</w:t>
            </w:r>
          </w:p>
          <w:p w14:paraId="726F756C">
            <w:pPr>
              <w:wordWrap w:val="0"/>
              <w:spacing w:line="360" w:lineRule="auto"/>
              <w:rPr>
                <w:rFonts w:ascii="宋体" w:hAnsi="宋体" w:cs="宋体"/>
                <w:szCs w:val="21"/>
              </w:rPr>
            </w:pPr>
            <w:r>
              <w:rPr>
                <w:rFonts w:hint="eastAsia" w:ascii="宋体" w:hAnsi="宋体" w:cs="宋体"/>
                <w:szCs w:val="21"/>
              </w:rPr>
              <w:t>1、满足以上三项要求的得50分，满足任意两项要求的得25分，满足任意一项要求的得12.5分，其他情况不得分。</w:t>
            </w:r>
          </w:p>
          <w:p w14:paraId="495AFBA8">
            <w:pPr>
              <w:wordWrap w:val="0"/>
              <w:spacing w:line="360" w:lineRule="auto"/>
              <w:rPr>
                <w:rFonts w:ascii="宋体" w:hAnsi="宋体" w:cs="宋体"/>
                <w:szCs w:val="21"/>
              </w:rPr>
            </w:pPr>
            <w:r>
              <w:rPr>
                <w:rFonts w:hint="eastAsia" w:ascii="宋体" w:hAnsi="宋体" w:cs="宋体"/>
                <w:szCs w:val="21"/>
              </w:rPr>
              <w:t>2、在此基础上，专家根据下列内容进一步评审：</w:t>
            </w:r>
          </w:p>
          <w:p w14:paraId="0CFC875C">
            <w:pPr>
              <w:wordWrap w:val="0"/>
              <w:spacing w:line="360" w:lineRule="auto"/>
              <w:rPr>
                <w:rFonts w:ascii="宋体" w:hAnsi="宋体" w:cs="宋体"/>
                <w:szCs w:val="21"/>
              </w:rPr>
            </w:pPr>
            <w:r>
              <w:rPr>
                <w:rFonts w:hint="eastAsia" w:ascii="宋体" w:hAnsi="宋体" w:cs="宋体"/>
                <w:szCs w:val="21"/>
              </w:rPr>
              <w:t>（1）服务进度安排合理且可行性强；</w:t>
            </w:r>
          </w:p>
          <w:p w14:paraId="72BA8CBB">
            <w:pPr>
              <w:wordWrap w:val="0"/>
              <w:spacing w:line="360" w:lineRule="auto"/>
              <w:rPr>
                <w:rFonts w:ascii="宋体" w:hAnsi="宋体" w:cs="宋体"/>
                <w:szCs w:val="21"/>
              </w:rPr>
            </w:pPr>
            <w:r>
              <w:rPr>
                <w:rFonts w:hint="eastAsia" w:ascii="宋体" w:hAnsi="宋体" w:cs="宋体"/>
                <w:szCs w:val="21"/>
              </w:rPr>
              <w:t>（2）列明各个阶段项目存在的质量风险及应对措施；</w:t>
            </w:r>
          </w:p>
          <w:p w14:paraId="4D696D31">
            <w:pPr>
              <w:wordWrap w:val="0"/>
              <w:spacing w:line="360" w:lineRule="auto"/>
              <w:rPr>
                <w:rFonts w:ascii="宋体" w:hAnsi="宋体" w:cs="宋体"/>
                <w:szCs w:val="21"/>
              </w:rPr>
            </w:pPr>
            <w:r>
              <w:rPr>
                <w:rFonts w:hint="eastAsia" w:ascii="宋体" w:hAnsi="宋体" w:cs="宋体"/>
                <w:szCs w:val="21"/>
              </w:rPr>
              <w:t>（3）组织管理（需要包含人员管理制度说明、项目管理机制说明）。</w:t>
            </w:r>
          </w:p>
          <w:p w14:paraId="1E634836">
            <w:pPr>
              <w:wordWrap w:val="0"/>
              <w:spacing w:line="360" w:lineRule="auto"/>
              <w:rPr>
                <w:rFonts w:ascii="宋体" w:hAnsi="宋体" w:cs="宋体"/>
                <w:szCs w:val="21"/>
              </w:rPr>
            </w:pPr>
            <w:r>
              <w:rPr>
                <w:rFonts w:hint="eastAsia" w:ascii="宋体" w:hAnsi="宋体" w:cs="宋体"/>
                <w:szCs w:val="21"/>
              </w:rPr>
              <w:t>满足以上三项要求加50分，满足以上任意两项要求加25分，满足以上任意一项要求加16分，其它情况不得分。</w:t>
            </w:r>
          </w:p>
        </w:tc>
      </w:tr>
      <w:tr w14:paraId="3699A4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206FB794">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59F60EEF">
            <w:pPr>
              <w:spacing w:line="276" w:lineRule="auto"/>
              <w:jc w:val="center"/>
              <w:rPr>
                <w:rFonts w:ascii="宋体" w:hAnsi="宋体" w:eastAsia="宋体" w:cs="宋体"/>
                <w:szCs w:val="21"/>
              </w:rPr>
            </w:pPr>
            <w:r>
              <w:rPr>
                <w:rFonts w:ascii="宋体" w:hAnsi="宋体" w:eastAsia="宋体" w:cs="宋体"/>
                <w:szCs w:val="21"/>
              </w:rPr>
              <w:t>4</w:t>
            </w:r>
          </w:p>
        </w:tc>
        <w:tc>
          <w:tcPr>
            <w:tcW w:w="1067" w:type="pct"/>
            <w:tcBorders>
              <w:top w:val="single" w:color="000000" w:sz="8" w:space="0"/>
              <w:left w:val="single" w:color="000000" w:sz="8" w:space="0"/>
              <w:bottom w:val="single" w:color="000000" w:sz="8" w:space="0"/>
              <w:right w:val="single" w:color="000000" w:sz="8" w:space="0"/>
            </w:tcBorders>
            <w:vAlign w:val="center"/>
          </w:tcPr>
          <w:p w14:paraId="5D21B51B">
            <w:pPr>
              <w:wordWrap w:val="0"/>
              <w:spacing w:line="360" w:lineRule="auto"/>
              <w:jc w:val="center"/>
              <w:rPr>
                <w:rFonts w:ascii="宋体" w:hAnsi="宋体" w:cs="宋体"/>
                <w:szCs w:val="21"/>
              </w:rPr>
            </w:pPr>
            <w:r>
              <w:rPr>
                <w:rFonts w:hint="eastAsia" w:ascii="宋体" w:hAnsi="宋体" w:cs="宋体"/>
                <w:szCs w:val="21"/>
              </w:rPr>
              <w:t>项目实施关键施工技术（重点难点）分析及解决方案</w:t>
            </w:r>
          </w:p>
        </w:tc>
        <w:tc>
          <w:tcPr>
            <w:tcW w:w="362" w:type="pct"/>
            <w:tcBorders>
              <w:top w:val="single" w:color="000000" w:sz="8" w:space="0"/>
              <w:left w:val="single" w:color="000000" w:sz="8" w:space="0"/>
              <w:bottom w:val="single" w:color="000000" w:sz="8" w:space="0"/>
              <w:right w:val="single" w:color="000000" w:sz="8" w:space="0"/>
            </w:tcBorders>
            <w:vAlign w:val="center"/>
          </w:tcPr>
          <w:p w14:paraId="6A87616A">
            <w:pPr>
              <w:wordWrap w:val="0"/>
              <w:spacing w:line="360" w:lineRule="auto"/>
              <w:jc w:val="center"/>
              <w:rPr>
                <w:rFonts w:ascii="宋体" w:hAnsi="宋体" w:cs="宋体"/>
                <w:szCs w:val="21"/>
              </w:rPr>
            </w:pPr>
            <w:r>
              <w:rPr>
                <w:rFonts w:hint="eastAsia" w:ascii="宋体" w:hAnsi="宋体" w:cs="宋体"/>
                <w:szCs w:val="21"/>
              </w:rPr>
              <w:t>10</w:t>
            </w:r>
          </w:p>
        </w:tc>
        <w:tc>
          <w:tcPr>
            <w:tcW w:w="2923" w:type="pct"/>
            <w:tcBorders>
              <w:top w:val="single" w:color="000000" w:sz="8" w:space="0"/>
              <w:left w:val="single" w:color="000000" w:sz="8" w:space="0"/>
              <w:bottom w:val="single" w:color="000000" w:sz="8" w:space="0"/>
              <w:right w:val="single" w:color="000000" w:sz="8" w:space="0"/>
            </w:tcBorders>
          </w:tcPr>
          <w:p w14:paraId="6EF818F3">
            <w:pPr>
              <w:wordWrap w:val="0"/>
              <w:spacing w:line="360" w:lineRule="auto"/>
              <w:rPr>
                <w:rFonts w:ascii="宋体" w:hAnsi="宋体" w:cs="宋体"/>
                <w:szCs w:val="21"/>
              </w:rPr>
            </w:pPr>
            <w:r>
              <w:rPr>
                <w:rFonts w:hint="eastAsia" w:ascii="宋体" w:hAnsi="宋体" w:cs="宋体"/>
                <w:szCs w:val="21"/>
              </w:rPr>
              <w:t>（一）评分内容：</w:t>
            </w:r>
          </w:p>
          <w:p w14:paraId="08DB85EE">
            <w:pPr>
              <w:wordWrap w:val="0"/>
              <w:spacing w:line="360" w:lineRule="auto"/>
              <w:rPr>
                <w:rFonts w:ascii="宋体" w:hAnsi="宋体" w:cs="宋体"/>
                <w:szCs w:val="21"/>
              </w:rPr>
            </w:pPr>
            <w:r>
              <w:rPr>
                <w:rFonts w:hint="eastAsia" w:ascii="宋体" w:hAnsi="宋体" w:cs="宋体"/>
                <w:szCs w:val="21"/>
              </w:rPr>
              <w:t>在投标文件中提供项目实施关键施工技术（重点难点）分析及解决方案，评审内容包括：</w:t>
            </w:r>
          </w:p>
          <w:p w14:paraId="6CABDDC9">
            <w:pPr>
              <w:wordWrap w:val="0"/>
              <w:spacing w:line="360" w:lineRule="auto"/>
              <w:rPr>
                <w:rFonts w:ascii="宋体" w:hAnsi="宋体" w:cs="宋体"/>
                <w:szCs w:val="21"/>
              </w:rPr>
            </w:pPr>
            <w:r>
              <w:rPr>
                <w:rFonts w:hint="eastAsia" w:ascii="宋体" w:hAnsi="宋体" w:cs="宋体"/>
                <w:szCs w:val="21"/>
              </w:rPr>
              <w:t>1、项目总体安排与资源配置、进度计划控制、质量控制；</w:t>
            </w:r>
          </w:p>
          <w:p w14:paraId="73CAF2C2">
            <w:pPr>
              <w:wordWrap w:val="0"/>
              <w:spacing w:line="360" w:lineRule="auto"/>
              <w:rPr>
                <w:rFonts w:ascii="宋体" w:hAnsi="宋体" w:cs="宋体"/>
                <w:szCs w:val="21"/>
              </w:rPr>
            </w:pPr>
            <w:r>
              <w:rPr>
                <w:rFonts w:hint="eastAsia" w:ascii="宋体" w:hAnsi="宋体" w:cs="宋体"/>
                <w:szCs w:val="21"/>
              </w:rPr>
              <w:t>2、各项费用控制，各类经济技术指标、估算，资料齐全程度；</w:t>
            </w:r>
          </w:p>
          <w:p w14:paraId="1997CD11">
            <w:pPr>
              <w:wordWrap w:val="0"/>
              <w:spacing w:line="360" w:lineRule="auto"/>
              <w:rPr>
                <w:rFonts w:ascii="宋体" w:hAnsi="宋体" w:cs="宋体"/>
                <w:szCs w:val="21"/>
              </w:rPr>
            </w:pPr>
            <w:r>
              <w:rPr>
                <w:rFonts w:hint="eastAsia" w:ascii="宋体" w:hAnsi="宋体" w:cs="宋体"/>
                <w:szCs w:val="21"/>
              </w:rPr>
              <w:t xml:space="preserve">3、项目实施重点、难点和解决方案及进度保证措施。 </w:t>
            </w:r>
          </w:p>
          <w:p w14:paraId="4434A0E3">
            <w:pPr>
              <w:wordWrap w:val="0"/>
              <w:spacing w:line="360" w:lineRule="auto"/>
              <w:rPr>
                <w:rFonts w:ascii="宋体" w:hAnsi="宋体" w:cs="宋体"/>
                <w:szCs w:val="21"/>
              </w:rPr>
            </w:pPr>
            <w:r>
              <w:rPr>
                <w:rFonts w:hint="eastAsia" w:ascii="宋体" w:hAnsi="宋体" w:cs="宋体"/>
                <w:szCs w:val="21"/>
              </w:rPr>
              <w:t>（二）评分标准：</w:t>
            </w:r>
          </w:p>
          <w:p w14:paraId="6C574F4B">
            <w:pPr>
              <w:wordWrap w:val="0"/>
              <w:spacing w:line="360" w:lineRule="auto"/>
              <w:rPr>
                <w:rFonts w:ascii="宋体" w:hAnsi="宋体" w:cs="宋体"/>
                <w:szCs w:val="21"/>
              </w:rPr>
            </w:pPr>
            <w:r>
              <w:rPr>
                <w:rFonts w:hint="eastAsia" w:ascii="宋体" w:hAnsi="宋体" w:cs="宋体"/>
                <w:szCs w:val="21"/>
              </w:rPr>
              <w:t>1、满足以上三项要求的得50分，满足任意两项要求的得25分，满足任意一项要求的得12.5分，其他情况不得分。</w:t>
            </w:r>
          </w:p>
          <w:p w14:paraId="21F1CBB3">
            <w:pPr>
              <w:wordWrap w:val="0"/>
              <w:spacing w:line="360" w:lineRule="auto"/>
              <w:rPr>
                <w:rFonts w:ascii="宋体" w:hAnsi="宋体" w:cs="宋体"/>
                <w:szCs w:val="21"/>
              </w:rPr>
            </w:pPr>
            <w:r>
              <w:rPr>
                <w:rFonts w:hint="eastAsia" w:ascii="宋体" w:hAnsi="宋体" w:cs="宋体"/>
                <w:szCs w:val="21"/>
              </w:rPr>
              <w:t xml:space="preserve">2、在此基础上，按照下列要求进行加分： </w:t>
            </w:r>
          </w:p>
          <w:p w14:paraId="636E68DE">
            <w:pPr>
              <w:wordWrap w:val="0"/>
              <w:spacing w:line="360" w:lineRule="auto"/>
              <w:rPr>
                <w:rFonts w:ascii="宋体" w:hAnsi="宋体" w:cs="宋体"/>
                <w:szCs w:val="21"/>
              </w:rPr>
            </w:pPr>
            <w:r>
              <w:rPr>
                <w:rFonts w:hint="eastAsia" w:ascii="宋体" w:hAnsi="宋体" w:cs="宋体"/>
                <w:szCs w:val="21"/>
              </w:rPr>
              <w:t>（1）从前瞻性、系统性等角度研判重难点；</w:t>
            </w:r>
          </w:p>
          <w:p w14:paraId="794B84EA">
            <w:pPr>
              <w:wordWrap w:val="0"/>
              <w:spacing w:line="360" w:lineRule="auto"/>
              <w:rPr>
                <w:rFonts w:ascii="宋体" w:hAnsi="宋体" w:cs="宋体"/>
                <w:szCs w:val="21"/>
              </w:rPr>
            </w:pPr>
            <w:r>
              <w:rPr>
                <w:rFonts w:hint="eastAsia" w:ascii="宋体" w:hAnsi="宋体" w:cs="宋体"/>
                <w:szCs w:val="21"/>
              </w:rPr>
              <w:t xml:space="preserve">（2）从可实施、可操作的角度提出应对措施； </w:t>
            </w:r>
          </w:p>
          <w:p w14:paraId="663BE546">
            <w:pPr>
              <w:wordWrap w:val="0"/>
              <w:spacing w:line="360" w:lineRule="auto"/>
              <w:rPr>
                <w:rFonts w:ascii="宋体" w:hAnsi="宋体" w:cs="宋体"/>
                <w:szCs w:val="21"/>
              </w:rPr>
            </w:pPr>
            <w:r>
              <w:rPr>
                <w:rFonts w:hint="eastAsia" w:ascii="宋体" w:hAnsi="宋体" w:cs="宋体"/>
                <w:szCs w:val="21"/>
              </w:rPr>
              <w:t>（3）多角度、有针对性的提出方案和指引；</w:t>
            </w:r>
          </w:p>
          <w:p w14:paraId="0934EEBA">
            <w:pPr>
              <w:wordWrap w:val="0"/>
              <w:spacing w:line="360" w:lineRule="auto"/>
              <w:rPr>
                <w:rFonts w:ascii="宋体" w:hAnsi="宋体" w:cs="宋体"/>
                <w:szCs w:val="21"/>
              </w:rPr>
            </w:pPr>
            <w:r>
              <w:rPr>
                <w:rFonts w:hint="eastAsia" w:ascii="宋体" w:hAnsi="宋体" w:cs="宋体"/>
                <w:szCs w:val="21"/>
              </w:rPr>
              <w:t>满足以上三项要求加50分，满足以上任意两项要求加25分，满足以上任意一项要求加16分，其它情况不得分。</w:t>
            </w:r>
          </w:p>
        </w:tc>
      </w:tr>
      <w:tr w14:paraId="507BA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645A7A29">
            <w:pPr>
              <w:spacing w:line="276" w:lineRule="auto"/>
              <w:rPr>
                <w:rFonts w:ascii="宋体" w:hAnsi="宋体" w:eastAsia="宋体" w:cs="宋体"/>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20AA5302">
            <w:pPr>
              <w:spacing w:line="276" w:lineRule="auto"/>
              <w:jc w:val="center"/>
              <w:rPr>
                <w:rFonts w:ascii="宋体" w:hAnsi="宋体" w:eastAsia="宋体" w:cs="宋体"/>
                <w:szCs w:val="21"/>
              </w:rPr>
            </w:pPr>
            <w:r>
              <w:rPr>
                <w:rFonts w:ascii="宋体" w:hAnsi="宋体" w:eastAsia="宋体" w:cs="宋体"/>
                <w:szCs w:val="21"/>
              </w:rPr>
              <w:t>5</w:t>
            </w:r>
          </w:p>
        </w:tc>
        <w:tc>
          <w:tcPr>
            <w:tcW w:w="1067" w:type="pct"/>
            <w:tcBorders>
              <w:top w:val="single" w:color="000000" w:sz="8" w:space="0"/>
              <w:left w:val="single" w:color="000000" w:sz="8" w:space="0"/>
              <w:bottom w:val="single" w:color="000000" w:sz="8" w:space="0"/>
              <w:right w:val="single" w:color="000000" w:sz="8" w:space="0"/>
            </w:tcBorders>
            <w:vAlign w:val="center"/>
          </w:tcPr>
          <w:p w14:paraId="5B9E1A9A">
            <w:pPr>
              <w:wordWrap w:val="0"/>
              <w:spacing w:line="360" w:lineRule="auto"/>
              <w:jc w:val="center"/>
              <w:rPr>
                <w:rFonts w:ascii="宋体" w:hAnsi="宋体" w:cs="宋体"/>
                <w:szCs w:val="21"/>
              </w:rPr>
            </w:pPr>
            <w:r>
              <w:rPr>
                <w:rFonts w:hint="eastAsia" w:ascii="宋体" w:hAnsi="宋体" w:cs="宋体"/>
                <w:szCs w:val="21"/>
              </w:rPr>
              <w:t>拟采用设备（材料）的性能（节能环保情况）、档次及质量可靠性</w:t>
            </w:r>
          </w:p>
        </w:tc>
        <w:tc>
          <w:tcPr>
            <w:tcW w:w="362" w:type="pct"/>
            <w:tcBorders>
              <w:top w:val="single" w:color="000000" w:sz="8" w:space="0"/>
              <w:left w:val="single" w:color="000000" w:sz="8" w:space="0"/>
              <w:bottom w:val="single" w:color="000000" w:sz="8" w:space="0"/>
              <w:right w:val="single" w:color="000000" w:sz="8" w:space="0"/>
            </w:tcBorders>
            <w:vAlign w:val="center"/>
          </w:tcPr>
          <w:p w14:paraId="0E19C71D">
            <w:pPr>
              <w:wordWrap w:val="0"/>
              <w:spacing w:line="360" w:lineRule="auto"/>
              <w:jc w:val="center"/>
              <w:rPr>
                <w:rFonts w:ascii="宋体" w:hAnsi="宋体" w:cs="宋体"/>
                <w:szCs w:val="21"/>
              </w:rPr>
            </w:pPr>
            <w:r>
              <w:rPr>
                <w:rFonts w:hint="eastAsia" w:ascii="宋体" w:hAnsi="宋体" w:cs="宋体"/>
                <w:szCs w:val="21"/>
              </w:rPr>
              <w:t>5</w:t>
            </w:r>
          </w:p>
        </w:tc>
        <w:tc>
          <w:tcPr>
            <w:tcW w:w="2923" w:type="pct"/>
            <w:tcBorders>
              <w:top w:val="single" w:color="000000" w:sz="8" w:space="0"/>
              <w:left w:val="single" w:color="000000" w:sz="8" w:space="0"/>
              <w:bottom w:val="single" w:color="000000" w:sz="8" w:space="0"/>
              <w:right w:val="single" w:color="000000" w:sz="8" w:space="0"/>
            </w:tcBorders>
          </w:tcPr>
          <w:p w14:paraId="4B6B490F">
            <w:pPr>
              <w:wordWrap w:val="0"/>
              <w:spacing w:line="360" w:lineRule="auto"/>
              <w:rPr>
                <w:rFonts w:ascii="宋体" w:hAnsi="宋体" w:cs="宋体"/>
                <w:szCs w:val="21"/>
              </w:rPr>
            </w:pPr>
            <w:r>
              <w:rPr>
                <w:rFonts w:hint="eastAsia" w:ascii="宋体" w:hAnsi="宋体" w:cs="宋体"/>
                <w:szCs w:val="21"/>
              </w:rPr>
              <w:t>（一）评分内容：</w:t>
            </w:r>
          </w:p>
          <w:p w14:paraId="1F12D07D">
            <w:pPr>
              <w:wordWrap w:val="0"/>
              <w:spacing w:line="360" w:lineRule="auto"/>
              <w:rPr>
                <w:rFonts w:ascii="宋体" w:hAnsi="宋体" w:cs="宋体"/>
                <w:szCs w:val="21"/>
              </w:rPr>
            </w:pPr>
            <w:r>
              <w:rPr>
                <w:rFonts w:hint="eastAsia" w:ascii="宋体" w:hAnsi="宋体" w:cs="宋体"/>
                <w:szCs w:val="21"/>
              </w:rPr>
              <w:t>根据投标人提供的拟采用设备（材料）的性能（节能环保情况）、档次及质量可靠性进行评分：</w:t>
            </w:r>
          </w:p>
          <w:p w14:paraId="2D0AC0AB">
            <w:pPr>
              <w:wordWrap w:val="0"/>
              <w:spacing w:line="360" w:lineRule="auto"/>
              <w:rPr>
                <w:rFonts w:ascii="宋体" w:hAnsi="宋体" w:cs="宋体"/>
                <w:szCs w:val="21"/>
              </w:rPr>
            </w:pPr>
            <w:r>
              <w:rPr>
                <w:rFonts w:hint="eastAsia" w:ascii="宋体" w:hAnsi="宋体" w:cs="宋体"/>
                <w:szCs w:val="21"/>
              </w:rPr>
              <w:t xml:space="preserve">1、投标人提供拟投入本项目采用材料品牌性能（节能环保情况）、档次及质量可靠性进行阐述说明； </w:t>
            </w:r>
          </w:p>
          <w:p w14:paraId="5645A188">
            <w:pPr>
              <w:wordWrap w:val="0"/>
              <w:spacing w:line="360" w:lineRule="auto"/>
              <w:rPr>
                <w:rFonts w:ascii="宋体" w:hAnsi="宋体" w:cs="宋体"/>
                <w:szCs w:val="21"/>
              </w:rPr>
            </w:pPr>
            <w:r>
              <w:rPr>
                <w:rFonts w:hint="eastAsia" w:ascii="宋体" w:hAnsi="宋体" w:cs="宋体"/>
                <w:szCs w:val="21"/>
              </w:rPr>
              <w:t>2、投标人提供对材料投入计划、主要施工机械（设备）及保障措施进行阐述说明；</w:t>
            </w:r>
          </w:p>
          <w:p w14:paraId="7CF78ADB">
            <w:pPr>
              <w:wordWrap w:val="0"/>
              <w:spacing w:line="360" w:lineRule="auto"/>
              <w:rPr>
                <w:rFonts w:ascii="宋体" w:hAnsi="宋体" w:cs="宋体"/>
                <w:szCs w:val="21"/>
              </w:rPr>
            </w:pPr>
            <w:r>
              <w:rPr>
                <w:rFonts w:hint="eastAsia" w:ascii="宋体" w:hAnsi="宋体" w:cs="宋体"/>
                <w:szCs w:val="21"/>
              </w:rPr>
              <w:t>3、投标人提供拟投入本项目的主要材料（设备）质量保证承诺书（格式自拟）。</w:t>
            </w:r>
          </w:p>
          <w:p w14:paraId="1B6E8E84">
            <w:pPr>
              <w:wordWrap w:val="0"/>
              <w:spacing w:line="360" w:lineRule="auto"/>
              <w:rPr>
                <w:rFonts w:ascii="宋体" w:hAnsi="宋体" w:cs="宋体"/>
                <w:szCs w:val="21"/>
              </w:rPr>
            </w:pPr>
            <w:r>
              <w:rPr>
                <w:rFonts w:hint="eastAsia" w:ascii="宋体" w:hAnsi="宋体" w:cs="宋体"/>
                <w:szCs w:val="21"/>
              </w:rPr>
              <w:t>（二）评分标准：</w:t>
            </w:r>
          </w:p>
          <w:p w14:paraId="5664B7DC">
            <w:pPr>
              <w:wordWrap w:val="0"/>
              <w:spacing w:line="360" w:lineRule="auto"/>
              <w:rPr>
                <w:rFonts w:ascii="宋体" w:hAnsi="宋体" w:cs="宋体"/>
                <w:szCs w:val="21"/>
              </w:rPr>
            </w:pPr>
            <w:r>
              <w:rPr>
                <w:rFonts w:hint="eastAsia" w:ascii="宋体" w:hAnsi="宋体" w:cs="宋体"/>
                <w:szCs w:val="21"/>
              </w:rPr>
              <w:t>满足以上三项要求得100分，满足以上任意两项要求得60分，满足以上任意一项要求得20分，其它情况不得分。</w:t>
            </w:r>
          </w:p>
        </w:tc>
      </w:tr>
      <w:tr w14:paraId="7A0288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634AF891">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413EEC22">
            <w:pPr>
              <w:spacing w:line="276" w:lineRule="auto"/>
              <w:jc w:val="center"/>
              <w:rPr>
                <w:rFonts w:ascii="宋体" w:hAnsi="宋体" w:eastAsia="宋体" w:cs="宋体"/>
                <w:szCs w:val="21"/>
              </w:rPr>
            </w:pPr>
            <w:r>
              <w:rPr>
                <w:rFonts w:ascii="宋体" w:hAnsi="宋体" w:eastAsia="宋体" w:cs="宋体"/>
                <w:szCs w:val="21"/>
              </w:rPr>
              <w:t>6</w:t>
            </w:r>
          </w:p>
        </w:tc>
        <w:tc>
          <w:tcPr>
            <w:tcW w:w="1067" w:type="pct"/>
            <w:tcBorders>
              <w:top w:val="single" w:color="000000" w:sz="8" w:space="0"/>
              <w:left w:val="single" w:color="000000" w:sz="8" w:space="0"/>
              <w:bottom w:val="single" w:color="000000" w:sz="8" w:space="0"/>
              <w:right w:val="single" w:color="000000" w:sz="8" w:space="0"/>
            </w:tcBorders>
            <w:vAlign w:val="center"/>
          </w:tcPr>
          <w:p w14:paraId="3102A892">
            <w:pPr>
              <w:wordWrap w:val="0"/>
              <w:spacing w:line="360" w:lineRule="auto"/>
              <w:jc w:val="center"/>
              <w:rPr>
                <w:rFonts w:ascii="宋体" w:hAnsi="宋体" w:cs="宋体"/>
                <w:szCs w:val="21"/>
              </w:rPr>
            </w:pPr>
            <w:r>
              <w:rPr>
                <w:rFonts w:hint="eastAsia" w:ascii="宋体" w:hAnsi="宋体" w:cs="宋体"/>
                <w:szCs w:val="21"/>
              </w:rPr>
              <w:t>应急响应及服务承诺及维护保养方案</w:t>
            </w:r>
          </w:p>
        </w:tc>
        <w:tc>
          <w:tcPr>
            <w:tcW w:w="362" w:type="pct"/>
            <w:tcBorders>
              <w:top w:val="single" w:color="000000" w:sz="8" w:space="0"/>
              <w:left w:val="single" w:color="000000" w:sz="8" w:space="0"/>
              <w:bottom w:val="single" w:color="000000" w:sz="8" w:space="0"/>
              <w:right w:val="single" w:color="000000" w:sz="8" w:space="0"/>
            </w:tcBorders>
            <w:vAlign w:val="center"/>
          </w:tcPr>
          <w:p w14:paraId="1DF7374B">
            <w:pPr>
              <w:wordWrap w:val="0"/>
              <w:spacing w:line="360" w:lineRule="auto"/>
              <w:jc w:val="center"/>
              <w:rPr>
                <w:rFonts w:ascii="宋体" w:hAnsi="宋体" w:cs="宋体"/>
                <w:szCs w:val="21"/>
              </w:rPr>
            </w:pPr>
            <w:r>
              <w:rPr>
                <w:rFonts w:hint="eastAsia" w:ascii="宋体" w:hAnsi="宋体" w:cs="宋体"/>
                <w:szCs w:val="21"/>
              </w:rPr>
              <w:t>10</w:t>
            </w:r>
          </w:p>
        </w:tc>
        <w:tc>
          <w:tcPr>
            <w:tcW w:w="2923" w:type="pct"/>
            <w:tcBorders>
              <w:top w:val="single" w:color="000000" w:sz="8" w:space="0"/>
              <w:left w:val="single" w:color="000000" w:sz="8" w:space="0"/>
              <w:bottom w:val="single" w:color="000000" w:sz="8" w:space="0"/>
              <w:right w:val="single" w:color="000000" w:sz="8" w:space="0"/>
            </w:tcBorders>
          </w:tcPr>
          <w:p w14:paraId="6138C1D4">
            <w:pPr>
              <w:wordWrap w:val="0"/>
              <w:spacing w:line="360" w:lineRule="auto"/>
              <w:rPr>
                <w:rFonts w:ascii="宋体" w:hAnsi="宋体" w:cs="宋体"/>
                <w:szCs w:val="21"/>
              </w:rPr>
            </w:pPr>
            <w:r>
              <w:rPr>
                <w:rFonts w:hint="eastAsia" w:ascii="宋体" w:hAnsi="宋体" w:cs="宋体"/>
                <w:szCs w:val="21"/>
              </w:rPr>
              <w:t>（一）评分内容：</w:t>
            </w:r>
          </w:p>
          <w:p w14:paraId="210012FD">
            <w:pPr>
              <w:wordWrap w:val="0"/>
              <w:spacing w:line="360" w:lineRule="auto"/>
              <w:rPr>
                <w:rFonts w:ascii="宋体" w:hAnsi="宋体" w:cs="宋体"/>
                <w:szCs w:val="21"/>
              </w:rPr>
            </w:pPr>
            <w:r>
              <w:rPr>
                <w:rFonts w:hint="eastAsia" w:ascii="宋体" w:hAnsi="宋体" w:cs="宋体"/>
                <w:szCs w:val="21"/>
              </w:rPr>
              <w:t>投标人提供的应急响应及服务承诺及维护保养方案，应包括但不限于：</w:t>
            </w:r>
          </w:p>
          <w:p w14:paraId="29FECBB7">
            <w:pPr>
              <w:wordWrap w:val="0"/>
              <w:spacing w:line="360" w:lineRule="auto"/>
              <w:rPr>
                <w:rFonts w:ascii="宋体" w:hAnsi="宋体" w:cs="宋体"/>
                <w:szCs w:val="21"/>
              </w:rPr>
            </w:pPr>
            <w:r>
              <w:rPr>
                <w:rFonts w:hint="eastAsia" w:ascii="宋体" w:hAnsi="宋体" w:cs="宋体"/>
                <w:szCs w:val="21"/>
              </w:rPr>
              <w:t>1、应急响应；</w:t>
            </w:r>
          </w:p>
          <w:p w14:paraId="2E905A8E">
            <w:pPr>
              <w:wordWrap w:val="0"/>
              <w:spacing w:line="360" w:lineRule="auto"/>
              <w:rPr>
                <w:rFonts w:ascii="宋体" w:hAnsi="宋体" w:cs="宋体"/>
                <w:szCs w:val="21"/>
              </w:rPr>
            </w:pPr>
            <w:r>
              <w:rPr>
                <w:rFonts w:hint="eastAsia" w:ascii="宋体" w:hAnsi="宋体" w:cs="宋体"/>
                <w:szCs w:val="21"/>
              </w:rPr>
              <w:t>2、服务承诺；</w:t>
            </w:r>
          </w:p>
          <w:p w14:paraId="206777B8">
            <w:pPr>
              <w:wordWrap w:val="0"/>
              <w:spacing w:line="360" w:lineRule="auto"/>
              <w:rPr>
                <w:rFonts w:ascii="宋体" w:hAnsi="宋体" w:cs="宋体"/>
                <w:szCs w:val="21"/>
              </w:rPr>
            </w:pPr>
            <w:r>
              <w:rPr>
                <w:rFonts w:hint="eastAsia" w:ascii="宋体" w:hAnsi="宋体" w:cs="宋体"/>
                <w:szCs w:val="21"/>
              </w:rPr>
              <w:t>3、维护保养方案等。</w:t>
            </w:r>
          </w:p>
          <w:p w14:paraId="134B01F8">
            <w:pPr>
              <w:wordWrap w:val="0"/>
              <w:spacing w:line="360" w:lineRule="auto"/>
              <w:rPr>
                <w:rFonts w:ascii="宋体" w:hAnsi="宋体" w:cs="宋体"/>
                <w:szCs w:val="21"/>
              </w:rPr>
            </w:pPr>
            <w:r>
              <w:rPr>
                <w:rFonts w:hint="eastAsia" w:ascii="宋体" w:hAnsi="宋体" w:cs="宋体"/>
                <w:szCs w:val="21"/>
              </w:rPr>
              <w:t>（二）评分依据：</w:t>
            </w:r>
          </w:p>
          <w:p w14:paraId="2CDB763F">
            <w:pPr>
              <w:wordWrap w:val="0"/>
              <w:spacing w:line="360" w:lineRule="auto"/>
              <w:rPr>
                <w:rFonts w:ascii="宋体" w:hAnsi="宋体" w:cs="宋体"/>
                <w:szCs w:val="21"/>
              </w:rPr>
            </w:pPr>
            <w:r>
              <w:rPr>
                <w:rFonts w:hint="eastAsia" w:ascii="宋体" w:hAnsi="宋体" w:cs="宋体"/>
                <w:szCs w:val="21"/>
              </w:rPr>
              <w:t>1、满足以上三项要求的得60分，满足任意两项要求的得40分，满足任意一项要求的得20分，其他情况不得分。</w:t>
            </w:r>
          </w:p>
          <w:p w14:paraId="39DA3410">
            <w:pPr>
              <w:wordWrap w:val="0"/>
              <w:spacing w:line="360" w:lineRule="auto"/>
              <w:rPr>
                <w:rFonts w:ascii="宋体" w:hAnsi="宋体" w:cs="宋体"/>
                <w:szCs w:val="21"/>
              </w:rPr>
            </w:pPr>
            <w:r>
              <w:rPr>
                <w:rFonts w:hint="eastAsia" w:ascii="宋体" w:hAnsi="宋体" w:cs="宋体"/>
                <w:szCs w:val="21"/>
              </w:rPr>
              <w:t>2、在此基础上，专家根据下列内容进一步评审：</w:t>
            </w:r>
          </w:p>
          <w:p w14:paraId="31F9D9CB">
            <w:pPr>
              <w:wordWrap w:val="0"/>
              <w:spacing w:line="360" w:lineRule="auto"/>
              <w:rPr>
                <w:rFonts w:ascii="宋体" w:hAnsi="宋体" w:cs="宋体"/>
                <w:szCs w:val="21"/>
              </w:rPr>
            </w:pPr>
            <w:r>
              <w:rPr>
                <w:rFonts w:hint="eastAsia" w:ascii="宋体" w:hAnsi="宋体" w:cs="宋体"/>
                <w:szCs w:val="21"/>
              </w:rPr>
              <w:t>（1）明确指出使用的关键技术、安全技术；</w:t>
            </w:r>
          </w:p>
          <w:p w14:paraId="6B22AE96">
            <w:pPr>
              <w:wordWrap w:val="0"/>
              <w:spacing w:line="360" w:lineRule="auto"/>
              <w:rPr>
                <w:rFonts w:ascii="宋体" w:hAnsi="宋体" w:cs="宋体"/>
                <w:szCs w:val="21"/>
              </w:rPr>
            </w:pPr>
            <w:r>
              <w:rPr>
                <w:rFonts w:hint="eastAsia" w:ascii="宋体" w:hAnsi="宋体" w:cs="宋体"/>
                <w:szCs w:val="21"/>
              </w:rPr>
              <w:t>（2）从可实施、可操作的角度提出应对措施；</w:t>
            </w:r>
          </w:p>
          <w:p w14:paraId="1A24F04F">
            <w:pPr>
              <w:wordWrap w:val="0"/>
              <w:spacing w:line="360" w:lineRule="auto"/>
              <w:rPr>
                <w:rFonts w:ascii="宋体" w:hAnsi="宋体" w:cs="宋体"/>
                <w:szCs w:val="21"/>
              </w:rPr>
            </w:pPr>
            <w:r>
              <w:rPr>
                <w:rFonts w:hint="eastAsia" w:ascii="宋体" w:hAnsi="宋体" w:cs="宋体"/>
                <w:szCs w:val="21"/>
              </w:rPr>
              <w:t>（3）有具体的人员安排及明确的分工。</w:t>
            </w:r>
          </w:p>
          <w:p w14:paraId="5D66D8A7">
            <w:pPr>
              <w:wordWrap w:val="0"/>
              <w:spacing w:line="360" w:lineRule="auto"/>
              <w:rPr>
                <w:rFonts w:ascii="宋体" w:hAnsi="宋体" w:cs="宋体"/>
                <w:szCs w:val="21"/>
              </w:rPr>
            </w:pPr>
            <w:r>
              <w:rPr>
                <w:rFonts w:hint="eastAsia" w:ascii="宋体" w:hAnsi="宋体" w:cs="宋体"/>
                <w:szCs w:val="21"/>
              </w:rPr>
              <w:t>满足以上三项要求加40分，满足以上任意两项要求加20分，满足以上任意一项要求加10分，其它情况不得分。</w:t>
            </w:r>
          </w:p>
        </w:tc>
      </w:tr>
      <w:tr w14:paraId="7321D7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restart"/>
            <w:tcBorders>
              <w:top w:val="single" w:color="000000" w:sz="8" w:space="0"/>
              <w:left w:val="single" w:color="000000" w:sz="8" w:space="0"/>
              <w:right w:val="single" w:color="000000" w:sz="8" w:space="0"/>
            </w:tcBorders>
            <w:vAlign w:val="center"/>
          </w:tcPr>
          <w:p w14:paraId="7E03EA01">
            <w:pPr>
              <w:spacing w:line="276" w:lineRule="auto"/>
              <w:jc w:val="center"/>
              <w:rPr>
                <w:rFonts w:ascii="宋体" w:hAnsi="宋体" w:eastAsia="宋体" w:cs="宋体"/>
                <w:b/>
                <w:bCs/>
                <w:color w:val="0000FF"/>
                <w:szCs w:val="21"/>
              </w:rPr>
            </w:pPr>
            <w:r>
              <w:rPr>
                <w:rFonts w:hint="eastAsia" w:ascii="宋体" w:hAnsi="宋体" w:eastAsia="宋体" w:cs="宋体"/>
                <w:szCs w:val="21"/>
              </w:rPr>
              <w:t>3</w:t>
            </w:r>
          </w:p>
        </w:tc>
        <w:tc>
          <w:tcPr>
            <w:tcW w:w="1754" w:type="pct"/>
            <w:gridSpan w:val="3"/>
            <w:tcBorders>
              <w:top w:val="single" w:color="000000" w:sz="8" w:space="0"/>
              <w:left w:val="single" w:color="000000" w:sz="8" w:space="0"/>
              <w:bottom w:val="single" w:color="000000" w:sz="8" w:space="0"/>
              <w:right w:val="single" w:color="000000" w:sz="8" w:space="0"/>
            </w:tcBorders>
          </w:tcPr>
          <w:p w14:paraId="7A66787A">
            <w:pPr>
              <w:spacing w:line="276" w:lineRule="auto"/>
              <w:jc w:val="center"/>
              <w:rPr>
                <w:rFonts w:ascii="宋体" w:hAnsi="宋体" w:eastAsia="宋体" w:cs="宋体"/>
                <w:b/>
                <w:bCs/>
                <w:color w:val="0000FF"/>
                <w:szCs w:val="21"/>
              </w:rPr>
            </w:pPr>
            <w:r>
              <w:rPr>
                <w:rFonts w:hint="eastAsia" w:ascii="宋体" w:hAnsi="宋体" w:eastAsia="宋体" w:cs="宋体"/>
                <w:b/>
                <w:bCs/>
                <w:szCs w:val="21"/>
              </w:rPr>
              <w:t>商务部分</w:t>
            </w:r>
          </w:p>
        </w:tc>
        <w:tc>
          <w:tcPr>
            <w:tcW w:w="2923" w:type="pct"/>
            <w:tcBorders>
              <w:top w:val="single" w:color="000000" w:sz="8" w:space="0"/>
              <w:left w:val="single" w:color="000000" w:sz="8" w:space="0"/>
              <w:bottom w:val="single" w:color="000000" w:sz="8" w:space="0"/>
              <w:right w:val="single" w:color="000000" w:sz="8" w:space="0"/>
            </w:tcBorders>
          </w:tcPr>
          <w:p w14:paraId="01B8BBB9">
            <w:pPr>
              <w:spacing w:line="276" w:lineRule="auto"/>
              <w:jc w:val="center"/>
              <w:rPr>
                <w:rFonts w:ascii="宋体" w:hAnsi="宋体" w:eastAsia="宋体" w:cs="宋体"/>
                <w:b/>
                <w:bCs/>
                <w:color w:val="0000FF"/>
                <w:sz w:val="28"/>
                <w:szCs w:val="28"/>
              </w:rPr>
            </w:pPr>
            <w:r>
              <w:rPr>
                <w:rFonts w:hint="eastAsia" w:ascii="宋体" w:hAnsi="宋体" w:eastAsia="宋体" w:cs="宋体"/>
                <w:b/>
                <w:bCs/>
                <w:szCs w:val="21"/>
              </w:rPr>
              <w:t>25</w:t>
            </w:r>
          </w:p>
        </w:tc>
      </w:tr>
      <w:tr w14:paraId="037D8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shd w:val="clear" w:color="auto" w:fill="E6EFFA"/>
            <w:vAlign w:val="center"/>
          </w:tcPr>
          <w:p w14:paraId="7BAF79A1">
            <w:pPr>
              <w:spacing w:line="276" w:lineRule="auto"/>
              <w:ind w:firstLine="2310"/>
              <w:rPr>
                <w:rFonts w:ascii="宋体" w:hAnsi="宋体" w:eastAsia="宋体" w:cs="宋体"/>
                <w:b/>
                <w:bCs/>
                <w:color w:val="0000FF"/>
                <w:szCs w:val="21"/>
              </w:rPr>
            </w:pPr>
          </w:p>
        </w:tc>
        <w:tc>
          <w:tcPr>
            <w:tcW w:w="3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A619D13">
            <w:pPr>
              <w:spacing w:line="276" w:lineRule="auto"/>
              <w:jc w:val="center"/>
              <w:rPr>
                <w:rFonts w:ascii="宋体" w:hAnsi="宋体" w:eastAsia="宋体" w:cs="宋体"/>
                <w:szCs w:val="21"/>
              </w:rPr>
            </w:pPr>
            <w:r>
              <w:rPr>
                <w:rFonts w:hint="eastAsia" w:ascii="宋体" w:hAnsi="宋体" w:eastAsia="宋体" w:cs="宋体"/>
                <w:szCs w:val="21"/>
              </w:rPr>
              <w:t>序号</w:t>
            </w:r>
          </w:p>
        </w:tc>
        <w:tc>
          <w:tcPr>
            <w:tcW w:w="1067"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78667E4">
            <w:pPr>
              <w:spacing w:line="276" w:lineRule="auto"/>
              <w:jc w:val="center"/>
              <w:rPr>
                <w:rFonts w:ascii="宋体" w:hAnsi="宋体" w:eastAsia="宋体" w:cs="宋体"/>
                <w:szCs w:val="21"/>
              </w:rPr>
            </w:pPr>
            <w:r>
              <w:rPr>
                <w:rFonts w:hint="eastAsia" w:ascii="宋体" w:hAnsi="宋体" w:eastAsia="宋体" w:cs="宋体"/>
                <w:szCs w:val="21"/>
              </w:rPr>
              <w:t>评分因素</w:t>
            </w:r>
          </w:p>
        </w:tc>
        <w:tc>
          <w:tcPr>
            <w:tcW w:w="362"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F7CDFDC">
            <w:pPr>
              <w:spacing w:line="276" w:lineRule="auto"/>
              <w:jc w:val="center"/>
              <w:rPr>
                <w:rFonts w:ascii="宋体" w:hAnsi="宋体" w:eastAsia="宋体" w:cs="宋体"/>
                <w:szCs w:val="21"/>
              </w:rPr>
            </w:pPr>
            <w:r>
              <w:rPr>
                <w:rFonts w:hint="eastAsia" w:ascii="宋体" w:hAnsi="宋体" w:eastAsia="宋体" w:cs="宋体"/>
                <w:szCs w:val="21"/>
              </w:rPr>
              <w:t>权重(%)</w:t>
            </w:r>
          </w:p>
        </w:tc>
        <w:tc>
          <w:tcPr>
            <w:tcW w:w="2923"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08E2120">
            <w:pPr>
              <w:spacing w:line="276" w:lineRule="auto"/>
              <w:jc w:val="center"/>
              <w:rPr>
                <w:rFonts w:ascii="宋体" w:hAnsi="宋体" w:eastAsia="宋体" w:cs="宋体"/>
                <w:szCs w:val="21"/>
              </w:rPr>
            </w:pPr>
            <w:r>
              <w:rPr>
                <w:rFonts w:hint="eastAsia" w:ascii="宋体" w:hAnsi="宋体" w:eastAsia="宋体" w:cs="宋体"/>
                <w:szCs w:val="21"/>
              </w:rPr>
              <w:t>评分准则</w:t>
            </w:r>
          </w:p>
        </w:tc>
      </w:tr>
      <w:tr w14:paraId="6AB77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0C7E3E83">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7A644395">
            <w:pPr>
              <w:spacing w:line="276" w:lineRule="auto"/>
              <w:jc w:val="center"/>
              <w:rPr>
                <w:rFonts w:ascii="宋体" w:hAnsi="宋体" w:eastAsia="宋体" w:cs="宋体"/>
                <w:szCs w:val="21"/>
              </w:rPr>
            </w:pPr>
            <w:r>
              <w:rPr>
                <w:rFonts w:hint="eastAsia" w:ascii="宋体" w:hAnsi="宋体" w:eastAsia="宋体" w:cs="宋体"/>
                <w:szCs w:val="21"/>
              </w:rPr>
              <w:t>1</w:t>
            </w:r>
          </w:p>
        </w:tc>
        <w:tc>
          <w:tcPr>
            <w:tcW w:w="1067" w:type="pct"/>
            <w:tcBorders>
              <w:top w:val="single" w:color="000000" w:sz="8" w:space="0"/>
              <w:left w:val="single" w:color="000000" w:sz="8" w:space="0"/>
              <w:bottom w:val="single" w:color="000000" w:sz="8" w:space="0"/>
              <w:right w:val="single" w:color="000000" w:sz="8" w:space="0"/>
            </w:tcBorders>
            <w:vAlign w:val="center"/>
          </w:tcPr>
          <w:p w14:paraId="6B7B56AA">
            <w:pPr>
              <w:spacing w:line="360" w:lineRule="auto"/>
              <w:jc w:val="center"/>
              <w:rPr>
                <w:rFonts w:ascii="宋体" w:hAnsi="宋体" w:cs="宋体"/>
                <w:szCs w:val="21"/>
              </w:rPr>
            </w:pPr>
            <w:r>
              <w:rPr>
                <w:rFonts w:hint="eastAsia" w:ascii="宋体" w:hAnsi="宋体" w:cs="宋体"/>
                <w:szCs w:val="21"/>
              </w:rPr>
              <w:t>同类业绩</w:t>
            </w:r>
          </w:p>
        </w:tc>
        <w:tc>
          <w:tcPr>
            <w:tcW w:w="362" w:type="pct"/>
            <w:tcBorders>
              <w:top w:val="single" w:color="000000" w:sz="8" w:space="0"/>
              <w:left w:val="single" w:color="000000" w:sz="8" w:space="0"/>
              <w:bottom w:val="single" w:color="000000" w:sz="8" w:space="0"/>
              <w:right w:val="single" w:color="000000" w:sz="8" w:space="0"/>
            </w:tcBorders>
            <w:vAlign w:val="center"/>
          </w:tcPr>
          <w:p w14:paraId="33DFBCC0">
            <w:pPr>
              <w:spacing w:line="360" w:lineRule="auto"/>
              <w:jc w:val="center"/>
              <w:rPr>
                <w:rFonts w:ascii="宋体" w:hAnsi="宋体" w:cs="宋体"/>
                <w:szCs w:val="21"/>
              </w:rPr>
            </w:pPr>
            <w:r>
              <w:rPr>
                <w:rFonts w:hint="eastAsia" w:ascii="宋体" w:hAnsi="宋体" w:cs="宋体"/>
                <w:szCs w:val="21"/>
              </w:rPr>
              <w:t>10</w:t>
            </w:r>
          </w:p>
        </w:tc>
        <w:tc>
          <w:tcPr>
            <w:tcW w:w="2923" w:type="pct"/>
            <w:tcBorders>
              <w:top w:val="single" w:color="000000" w:sz="8" w:space="0"/>
              <w:left w:val="single" w:color="000000" w:sz="8" w:space="0"/>
              <w:bottom w:val="single" w:color="000000" w:sz="8" w:space="0"/>
              <w:right w:val="single" w:color="000000" w:sz="8" w:space="0"/>
            </w:tcBorders>
          </w:tcPr>
          <w:p w14:paraId="2BCE328A">
            <w:pPr>
              <w:wordWrap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（一）评分内容：</w:t>
            </w:r>
          </w:p>
          <w:p w14:paraId="236A4A35">
            <w:pPr>
              <w:wordWrap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投标人提供2021年1月1日至本项目投标截止之日止</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以合同签订时间为准</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零星工程施工类</w:t>
            </w:r>
            <w:r>
              <w:rPr>
                <w:rFonts w:hint="eastAsia" w:ascii="宋体" w:hAnsi="宋体" w:cs="宋体"/>
                <w:color w:val="000000" w:themeColor="text1"/>
                <w:szCs w:val="21"/>
                <w:lang w:val="zh-CN"/>
                <w14:textFill>
                  <w14:solidFill>
                    <w14:schemeClr w14:val="tx1"/>
                  </w14:solidFill>
                </w14:textFill>
              </w:rPr>
              <w:t>业绩，每提供1项得</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zh-CN"/>
                <w14:textFill>
                  <w14:solidFill>
                    <w14:schemeClr w14:val="tx1"/>
                  </w14:solidFill>
                </w14:textFill>
              </w:rPr>
              <w:t>分，最高得</w:t>
            </w:r>
            <w:r>
              <w:rPr>
                <w:rFonts w:hint="eastAsia" w:ascii="宋体" w:hAnsi="宋体" w:cs="宋体"/>
                <w:color w:val="000000" w:themeColor="text1"/>
                <w:szCs w:val="21"/>
                <w14:textFill>
                  <w14:solidFill>
                    <w14:schemeClr w14:val="tx1"/>
                  </w14:solidFill>
                </w14:textFill>
              </w:rPr>
              <w:t>100</w:t>
            </w:r>
            <w:r>
              <w:rPr>
                <w:rFonts w:hint="eastAsia" w:ascii="宋体" w:hAnsi="宋体" w:cs="宋体"/>
                <w:color w:val="000000" w:themeColor="text1"/>
                <w:szCs w:val="21"/>
                <w:lang w:val="zh-CN"/>
                <w14:textFill>
                  <w14:solidFill>
                    <w14:schemeClr w14:val="tx1"/>
                  </w14:solidFill>
                </w14:textFill>
              </w:rPr>
              <w:t>分。</w:t>
            </w:r>
          </w:p>
          <w:p w14:paraId="683D3AFD">
            <w:pPr>
              <w:wordWrap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（二）评分依据：</w:t>
            </w:r>
          </w:p>
          <w:p w14:paraId="334BA432">
            <w:pPr>
              <w:wordWrap w:val="0"/>
              <w:spacing w:line="360" w:lineRule="auto"/>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提供合同关键页（含签订合同双方的单位名称、合同项目名称与含签订合同双方的落款盖章、签订日期的关键页）扫描件。通过合同关键信息无法判断是否得分的，还须需同时提供能证明得分的其它证明资料，如项目报告或合同甲方出具的证明文件等。不提供或无法辨别的，不得分。</w:t>
            </w:r>
          </w:p>
        </w:tc>
      </w:tr>
      <w:tr w14:paraId="6FA60D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right w:val="single" w:color="000000" w:sz="8" w:space="0"/>
            </w:tcBorders>
            <w:vAlign w:val="center"/>
          </w:tcPr>
          <w:p w14:paraId="3A55CE9D">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48F1E45E">
            <w:pPr>
              <w:spacing w:line="276" w:lineRule="auto"/>
              <w:jc w:val="center"/>
              <w:rPr>
                <w:rFonts w:ascii="宋体" w:hAnsi="宋体" w:eastAsia="宋体" w:cs="宋体"/>
                <w:szCs w:val="21"/>
              </w:rPr>
            </w:pPr>
            <w:r>
              <w:rPr>
                <w:rFonts w:hint="eastAsia" w:ascii="宋体" w:hAnsi="宋体" w:eastAsia="宋体" w:cs="宋体"/>
                <w:szCs w:val="21"/>
              </w:rPr>
              <w:t>2</w:t>
            </w:r>
          </w:p>
        </w:tc>
        <w:tc>
          <w:tcPr>
            <w:tcW w:w="1067" w:type="pct"/>
            <w:tcBorders>
              <w:top w:val="single" w:color="000000" w:sz="8" w:space="0"/>
              <w:left w:val="single" w:color="000000" w:sz="8" w:space="0"/>
              <w:bottom w:val="single" w:color="000000" w:sz="8" w:space="0"/>
              <w:right w:val="single" w:color="000000" w:sz="8" w:space="0"/>
            </w:tcBorders>
            <w:vAlign w:val="center"/>
          </w:tcPr>
          <w:p w14:paraId="34FCCAF1">
            <w:pPr>
              <w:wordWrap w:val="0"/>
              <w:spacing w:line="360" w:lineRule="auto"/>
              <w:jc w:val="center"/>
              <w:rPr>
                <w:rFonts w:ascii="宋体" w:hAnsi="宋体" w:cs="宋体"/>
                <w:szCs w:val="21"/>
              </w:rPr>
            </w:pPr>
            <w:r>
              <w:rPr>
                <w:rFonts w:hint="eastAsia" w:ascii="宋体" w:hAnsi="宋体" w:cs="宋体"/>
                <w:szCs w:val="21"/>
              </w:rPr>
              <w:t>履约评价</w:t>
            </w:r>
          </w:p>
        </w:tc>
        <w:tc>
          <w:tcPr>
            <w:tcW w:w="362" w:type="pct"/>
            <w:tcBorders>
              <w:top w:val="single" w:color="000000" w:sz="8" w:space="0"/>
              <w:left w:val="single" w:color="000000" w:sz="8" w:space="0"/>
              <w:bottom w:val="single" w:color="000000" w:sz="8" w:space="0"/>
              <w:right w:val="single" w:color="000000" w:sz="8" w:space="0"/>
            </w:tcBorders>
            <w:vAlign w:val="center"/>
          </w:tcPr>
          <w:p w14:paraId="0A06595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2923" w:type="pct"/>
            <w:tcBorders>
              <w:top w:val="single" w:color="000000" w:sz="8" w:space="0"/>
              <w:left w:val="single" w:color="000000" w:sz="8" w:space="0"/>
              <w:bottom w:val="single" w:color="000000" w:sz="8" w:space="0"/>
              <w:right w:val="single" w:color="000000" w:sz="8" w:space="0"/>
            </w:tcBorders>
          </w:tcPr>
          <w:p w14:paraId="515A4A0E">
            <w:pPr>
              <w:wordWrap w:val="0"/>
              <w:spacing w:line="360" w:lineRule="auto"/>
              <w:rPr>
                <w:rFonts w:ascii="宋体" w:hAnsi="宋体" w:cs="宋体"/>
                <w:szCs w:val="21"/>
              </w:rPr>
            </w:pPr>
            <w:r>
              <w:rPr>
                <w:rFonts w:hint="eastAsia" w:ascii="宋体" w:hAnsi="宋体" w:cs="宋体"/>
                <w:szCs w:val="21"/>
              </w:rPr>
              <w:t>（一）评分内容：</w:t>
            </w:r>
          </w:p>
          <w:p w14:paraId="15C4E621">
            <w:pPr>
              <w:wordWrap w:val="0"/>
              <w:spacing w:line="360" w:lineRule="auto"/>
              <w:rPr>
                <w:rFonts w:ascii="宋体" w:hAnsi="宋体" w:cs="宋体"/>
                <w:szCs w:val="21"/>
              </w:rPr>
            </w:pPr>
            <w:r>
              <w:rPr>
                <w:rFonts w:hint="eastAsia" w:ascii="宋体" w:hAnsi="宋体" w:cs="宋体"/>
                <w:szCs w:val="21"/>
              </w:rPr>
              <w:t>投标人在上述“同类业绩”评审项中参加评审并被认定有效的业绩，能够提供采购单位或被服务单位出具的履约评价书，且评价为“优”或“满意”或“合格”或同等级评价的，每提供1份得20分，最高得100分。</w:t>
            </w:r>
          </w:p>
          <w:p w14:paraId="45A85968">
            <w:pPr>
              <w:wordWrap w:val="0"/>
              <w:spacing w:line="360" w:lineRule="auto"/>
              <w:rPr>
                <w:rFonts w:ascii="宋体" w:hAnsi="宋体" w:cs="宋体"/>
                <w:szCs w:val="21"/>
              </w:rPr>
            </w:pPr>
            <w:r>
              <w:rPr>
                <w:rFonts w:hint="eastAsia" w:ascii="宋体" w:hAnsi="宋体" w:cs="宋体"/>
                <w:szCs w:val="21"/>
              </w:rPr>
              <w:t>（二）评分依据：</w:t>
            </w:r>
          </w:p>
          <w:p w14:paraId="7F33B74E">
            <w:pPr>
              <w:wordWrap w:val="0"/>
              <w:spacing w:line="360" w:lineRule="auto"/>
              <w:rPr>
                <w:rFonts w:ascii="宋体" w:hAnsi="宋体" w:cs="宋体"/>
                <w:szCs w:val="21"/>
              </w:rPr>
            </w:pPr>
            <w:r>
              <w:rPr>
                <w:rFonts w:hint="eastAsia" w:ascii="宋体" w:hAnsi="宋体" w:cs="宋体"/>
                <w:szCs w:val="21"/>
              </w:rPr>
              <w:t>证明文件的内容包括但不仅限于合同的项目名称、总体履约评价结果、出具证明的签署日期等相关内容,如提交的证明文件其评价结果没有结论而仅是打分的（比如打100分、98分、95分、85分等的）不计分。</w:t>
            </w:r>
          </w:p>
        </w:tc>
      </w:tr>
      <w:tr w14:paraId="6CDA5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 w:hRule="atLeast"/>
          <w:jc w:val="center"/>
        </w:trPr>
        <w:tc>
          <w:tcPr>
            <w:tcW w:w="323" w:type="pct"/>
            <w:vMerge w:val="continue"/>
            <w:tcBorders>
              <w:left w:val="single" w:color="000000" w:sz="8" w:space="0"/>
              <w:bottom w:val="single" w:color="000000" w:sz="8" w:space="0"/>
              <w:right w:val="single" w:color="000000" w:sz="8" w:space="0"/>
            </w:tcBorders>
            <w:vAlign w:val="center"/>
          </w:tcPr>
          <w:p w14:paraId="28D67A6E">
            <w:pPr>
              <w:spacing w:line="276" w:lineRule="auto"/>
              <w:ind w:firstLine="2310"/>
              <w:rPr>
                <w:rFonts w:ascii="宋体" w:hAnsi="宋体" w:eastAsia="宋体" w:cs="宋体"/>
                <w:b/>
                <w:bCs/>
                <w:color w:val="0000FF"/>
                <w:szCs w:val="21"/>
              </w:rPr>
            </w:pPr>
          </w:p>
        </w:tc>
        <w:tc>
          <w:tcPr>
            <w:tcW w:w="325" w:type="pct"/>
            <w:tcBorders>
              <w:top w:val="single" w:color="000000" w:sz="8" w:space="0"/>
              <w:left w:val="single" w:color="000000" w:sz="8" w:space="0"/>
              <w:bottom w:val="single" w:color="000000" w:sz="8" w:space="0"/>
              <w:right w:val="single" w:color="000000" w:sz="8" w:space="0"/>
            </w:tcBorders>
            <w:vAlign w:val="center"/>
          </w:tcPr>
          <w:p w14:paraId="334F2F2B">
            <w:pPr>
              <w:spacing w:line="276" w:lineRule="auto"/>
              <w:jc w:val="center"/>
              <w:rPr>
                <w:rFonts w:ascii="宋体" w:hAnsi="宋体" w:eastAsia="宋体" w:cs="宋体"/>
                <w:szCs w:val="21"/>
              </w:rPr>
            </w:pPr>
            <w:r>
              <w:rPr>
                <w:rFonts w:hint="eastAsia" w:ascii="宋体" w:hAnsi="宋体" w:eastAsia="宋体" w:cs="宋体"/>
                <w:szCs w:val="21"/>
              </w:rPr>
              <w:t>3</w:t>
            </w:r>
          </w:p>
        </w:tc>
        <w:tc>
          <w:tcPr>
            <w:tcW w:w="1067" w:type="pct"/>
            <w:tcBorders>
              <w:top w:val="single" w:color="000000" w:sz="8" w:space="0"/>
              <w:left w:val="single" w:color="000000" w:sz="8" w:space="0"/>
              <w:bottom w:val="single" w:color="000000" w:sz="8" w:space="0"/>
              <w:right w:val="single" w:color="000000" w:sz="8" w:space="0"/>
            </w:tcBorders>
            <w:vAlign w:val="center"/>
          </w:tcPr>
          <w:p w14:paraId="19DBB377">
            <w:pPr>
              <w:spacing w:line="276" w:lineRule="auto"/>
              <w:jc w:val="center"/>
              <w:rPr>
                <w:rFonts w:ascii="宋体" w:hAnsi="宋体" w:eastAsia="宋体" w:cs="宋体"/>
                <w:szCs w:val="21"/>
              </w:rPr>
            </w:pPr>
            <w:r>
              <w:rPr>
                <w:rFonts w:hint="eastAsia" w:ascii="宋体" w:hAnsi="宋体" w:eastAsia="宋体" w:cs="宋体"/>
                <w:szCs w:val="21"/>
              </w:rPr>
              <w:t>诚信分</w:t>
            </w:r>
          </w:p>
        </w:tc>
        <w:tc>
          <w:tcPr>
            <w:tcW w:w="362" w:type="pct"/>
            <w:tcBorders>
              <w:top w:val="single" w:color="000000" w:sz="8" w:space="0"/>
              <w:left w:val="single" w:color="000000" w:sz="8" w:space="0"/>
              <w:bottom w:val="single" w:color="000000" w:sz="8" w:space="0"/>
              <w:right w:val="single" w:color="000000" w:sz="8" w:space="0"/>
            </w:tcBorders>
            <w:vAlign w:val="center"/>
          </w:tcPr>
          <w:p w14:paraId="5E3EF0CE">
            <w:pPr>
              <w:spacing w:line="276" w:lineRule="auto"/>
              <w:jc w:val="center"/>
              <w:rPr>
                <w:rFonts w:ascii="宋体" w:hAnsi="宋体" w:eastAsia="宋体" w:cs="宋体"/>
                <w:szCs w:val="21"/>
              </w:rPr>
            </w:pPr>
            <w:r>
              <w:rPr>
                <w:rFonts w:hint="eastAsia" w:ascii="宋体" w:hAnsi="宋体" w:eastAsia="宋体" w:cs="宋体"/>
                <w:szCs w:val="21"/>
              </w:rPr>
              <w:t>5</w:t>
            </w:r>
          </w:p>
        </w:tc>
        <w:tc>
          <w:tcPr>
            <w:tcW w:w="2923" w:type="pct"/>
            <w:tcBorders>
              <w:top w:val="single" w:color="000000" w:sz="8" w:space="0"/>
              <w:left w:val="single" w:color="000000" w:sz="8" w:space="0"/>
              <w:bottom w:val="single" w:color="000000" w:sz="8" w:space="0"/>
              <w:right w:val="single" w:color="000000" w:sz="8" w:space="0"/>
            </w:tcBorders>
            <w:vAlign w:val="center"/>
          </w:tcPr>
          <w:p w14:paraId="6D84228E">
            <w:pPr>
              <w:spacing w:line="276" w:lineRule="auto"/>
              <w:rPr>
                <w:rFonts w:ascii="宋体" w:hAnsi="宋体" w:eastAsia="宋体" w:cs="宋体"/>
                <w:szCs w:val="21"/>
              </w:rPr>
            </w:pPr>
            <w:r>
              <w:rPr>
                <w:rFonts w:hint="eastAsia" w:ascii="宋体" w:hAnsi="宋体" w:eastAsia="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28887F78"/>
    <w:p w14:paraId="5C4EFB3D">
      <w:pPr>
        <w:rPr>
          <w:rFonts w:ascii="宋体" w:hAnsi="宋体" w:eastAsia="宋体"/>
          <w:b/>
          <w:bCs/>
          <w:sz w:val="28"/>
          <w:szCs w:val="28"/>
        </w:rPr>
      </w:pPr>
    </w:p>
    <w:p w14:paraId="29BDF3DC">
      <w:pPr>
        <w:rPr>
          <w:rFonts w:ascii="宋体" w:hAnsi="宋体" w:eastAsia="宋体"/>
          <w:b/>
          <w:bCs/>
          <w:sz w:val="28"/>
          <w:szCs w:val="28"/>
        </w:rPr>
      </w:pPr>
      <w:r>
        <w:rPr>
          <w:rFonts w:ascii="宋体" w:hAnsi="宋体" w:eastAsia="宋体"/>
          <w:b/>
          <w:bCs/>
          <w:sz w:val="28"/>
          <w:szCs w:val="28"/>
        </w:rPr>
        <w:br w:type="page"/>
      </w:r>
    </w:p>
    <w:p w14:paraId="50DF0276">
      <w:pPr>
        <w:pStyle w:val="34"/>
      </w:pPr>
      <w:r>
        <w:rPr>
          <w:rFonts w:hint="eastAsia"/>
        </w:rPr>
        <w:t>第一章  招标公告</w:t>
      </w:r>
    </w:p>
    <w:p w14:paraId="314591C0">
      <w:pPr>
        <w:snapToGrid w:val="0"/>
        <w:spacing w:line="360" w:lineRule="auto"/>
        <w:rPr>
          <w:rFonts w:ascii="Arial" w:hAnsi="Arial" w:eastAsia="宋体"/>
          <w:szCs w:val="21"/>
        </w:rPr>
      </w:pPr>
      <w:r>
        <w:rPr>
          <w:rFonts w:hint="eastAsia" w:ascii="Arial" w:hAnsi="Arial" w:eastAsia="宋体"/>
          <w:b/>
          <w:bCs/>
          <w:szCs w:val="21"/>
        </w:rPr>
        <w:t>申请人的资格要求：</w:t>
      </w:r>
    </w:p>
    <w:p w14:paraId="35C84CAB">
      <w:pPr>
        <w:snapToGrid w:val="0"/>
        <w:spacing w:line="360" w:lineRule="auto"/>
        <w:ind w:firstLine="465"/>
        <w:rPr>
          <w:bCs/>
        </w:rPr>
      </w:pPr>
      <w:r>
        <w:rPr>
          <w:rFonts w:hint="eastAsia"/>
          <w:bCs/>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r>
        <w:rPr>
          <w:bCs/>
        </w:rPr>
        <w:t>。</w:t>
      </w:r>
    </w:p>
    <w:p w14:paraId="61F5F6A8">
      <w:pPr>
        <w:snapToGrid w:val="0"/>
        <w:spacing w:line="360" w:lineRule="auto"/>
        <w:ind w:firstLine="465"/>
        <w:rPr>
          <w:bCs/>
        </w:rPr>
      </w:pPr>
      <w:r>
        <w:rPr>
          <w:bCs/>
        </w:rPr>
        <w:t>2</w:t>
      </w:r>
      <w:r>
        <w:rPr>
          <w:rFonts w:hint="eastAsia"/>
          <w:bCs/>
        </w:rPr>
        <w:t>）本项目不接受联合体投标，不接受投标人选用进口产品参与投标</w:t>
      </w:r>
      <w:r>
        <w:rPr>
          <w:bCs/>
        </w:rPr>
        <w:t>。</w:t>
      </w:r>
    </w:p>
    <w:p w14:paraId="2316497F">
      <w:pPr>
        <w:snapToGrid w:val="0"/>
        <w:spacing w:line="360" w:lineRule="auto"/>
        <w:ind w:firstLine="465"/>
        <w:rPr>
          <w:bCs/>
        </w:rPr>
      </w:pPr>
      <w:r>
        <w:rPr>
          <w:bCs/>
        </w:rPr>
        <w:t>3</w:t>
      </w:r>
      <w:r>
        <w:rPr>
          <w:rFonts w:hint="eastAsia"/>
          <w:bCs/>
        </w:rPr>
        <w:t>）参与本项目投标前三年内，在经营活动中没有重大违法记录（由供应商在《政府采购投标及履约承诺函》中作出声明）。</w:t>
      </w:r>
    </w:p>
    <w:p w14:paraId="642CA3B6">
      <w:pPr>
        <w:snapToGrid w:val="0"/>
        <w:spacing w:line="360" w:lineRule="auto"/>
        <w:ind w:firstLine="465"/>
        <w:rPr>
          <w:bCs/>
        </w:rPr>
      </w:pPr>
      <w:r>
        <w:rPr>
          <w:rFonts w:hint="eastAsia"/>
          <w:bCs/>
        </w:rPr>
        <w:t>4）参与本项目政府采购活动时不存在被有关部门禁止参与政府采购活动且在有效期内的情况（由供应商在《政府采购投标及履约承诺函》中作出声明）。</w:t>
      </w:r>
    </w:p>
    <w:p w14:paraId="733A8F64">
      <w:pPr>
        <w:snapToGrid w:val="0"/>
        <w:spacing w:line="360" w:lineRule="auto"/>
        <w:ind w:firstLine="465"/>
        <w:rPr>
          <w:bCs/>
        </w:rPr>
      </w:pPr>
      <w:r>
        <w:rPr>
          <w:rFonts w:hint="eastAsia"/>
          <w:bCs/>
        </w:rPr>
        <w:t>5）具备《中华人民共和国政府采购法》第二十二条第一款的条件（由供应商在《政府采购投标及履约承诺函》中作出声明）。</w:t>
      </w:r>
    </w:p>
    <w:p w14:paraId="7B036D4D">
      <w:pPr>
        <w:snapToGrid w:val="0"/>
        <w:spacing w:line="360" w:lineRule="auto"/>
        <w:ind w:firstLine="480" w:firstLineChars="200"/>
        <w:rPr>
          <w:bCs/>
        </w:rPr>
      </w:pPr>
      <w:r>
        <w:rPr>
          <w:rFonts w:hint="eastAsia"/>
          <w:bCs/>
        </w:rPr>
        <w:t>6）未被列入失信被执行人、重大税收违法案件当事人名单、政府采购严重违法失信行为记录名单（由供应商在《政府采购投标及履约承诺函》中作出声明）。</w:t>
      </w:r>
    </w:p>
    <w:p w14:paraId="2223F6D4">
      <w:pPr>
        <w:snapToGrid w:val="0"/>
        <w:spacing w:line="360" w:lineRule="auto"/>
        <w:ind w:firstLine="480" w:firstLineChars="200"/>
        <w:rPr>
          <w:bCs/>
        </w:rPr>
      </w:pPr>
      <w:r>
        <w:rPr>
          <w:rFonts w:hint="eastAsia"/>
          <w:bCs/>
        </w:rPr>
        <w:t>7）投标人为本项目提供整体设计、规范编制或者管理、监理、检测等服务的，不得再参与此次采购项目的投标（由供应商在《政府采购投标及履约承诺函》中作出声明）。</w:t>
      </w:r>
    </w:p>
    <w:p w14:paraId="4F0980DB">
      <w:pPr>
        <w:snapToGrid w:val="0"/>
        <w:spacing w:line="360" w:lineRule="auto"/>
        <w:ind w:firstLine="480" w:firstLineChars="200"/>
        <w:rPr>
          <w:bCs/>
        </w:rPr>
      </w:pPr>
      <w:r>
        <w:rPr>
          <w:rFonts w:hint="eastAsia"/>
          <w:bCs/>
        </w:rPr>
        <w:t>8）依据《中华人民共和国政府采购法实施条例》第十八条规定，单位负责人为同一人或者存在直接控股、管理关系的不同供应商，不得参加同一合同项下的政府采购活动（由供应商在《政府采购投标及履约承诺函》中作出声明）。</w:t>
      </w:r>
    </w:p>
    <w:p w14:paraId="2DE2E6B3">
      <w:pPr>
        <w:snapToGrid w:val="0"/>
        <w:spacing w:line="360" w:lineRule="auto"/>
        <w:ind w:firstLine="480" w:firstLineChars="200"/>
        <w:rPr>
          <w:bCs/>
        </w:rPr>
      </w:pPr>
      <w:r>
        <w:rPr>
          <w:rFonts w:hint="eastAsia"/>
          <w:bCs/>
        </w:rPr>
        <w:t>9）投标人不存在《深圳市财政局政府采购供应商信用信息管理办法》（深财规〔2023〕3 号）列明的严重违法失信行为（由供应商在《政府采购投标及履约承诺函》中作出承诺）。</w:t>
      </w:r>
    </w:p>
    <w:p w14:paraId="0645886E">
      <w:pPr>
        <w:snapToGrid w:val="0"/>
        <w:spacing w:line="360" w:lineRule="auto"/>
        <w:ind w:firstLine="480" w:firstLineChars="200"/>
        <w:rPr>
          <w:bCs/>
        </w:rPr>
      </w:pPr>
      <w:r>
        <w:rPr>
          <w:rFonts w:hint="eastAsia"/>
          <w:bCs/>
        </w:rPr>
        <w:t>10）投标人具有有效的建筑装修装饰工程专业承包二级或以上资质或者消防设施工程专业承包或二级或以上资质，提供证书扫描件。</w:t>
      </w:r>
    </w:p>
    <w:p w14:paraId="72321C4E">
      <w:pPr>
        <w:snapToGrid w:val="0"/>
        <w:spacing w:line="360" w:lineRule="auto"/>
        <w:ind w:firstLine="480" w:firstLineChars="200"/>
        <w:rPr>
          <w:bCs/>
        </w:rPr>
      </w:pPr>
      <w:r>
        <w:rPr>
          <w:rFonts w:hint="eastAsia"/>
          <w:bCs/>
        </w:rPr>
        <w:t>11）投标人具有有效的安全生产许可证，提供证书扫描件。</w:t>
      </w:r>
    </w:p>
    <w:p w14:paraId="4FAD9F62">
      <w:pPr>
        <w:snapToGrid w:val="0"/>
        <w:spacing w:line="360" w:lineRule="auto"/>
        <w:ind w:firstLine="482" w:firstLineChars="200"/>
        <w:rPr>
          <w:bCs/>
        </w:rPr>
      </w:pPr>
      <w:r>
        <w:rPr>
          <w:rFonts w:hint="eastAsia"/>
          <w:b/>
          <w:bCs/>
          <w:highlight w:val="yellow"/>
        </w:rPr>
        <w:t>12）本项目属于专门面向中小微企业采购项目，非中小微企业不得投标。（需提供符合要求的中小企业声明函格式详见招标文件，其中企业类型为中型、小型或微型。残疾人福利单位、监狱企业视同小型、微型企业，提供残疾人福利性单位声明函或监狱企业声明函及监狱企业证明文件）</w:t>
      </w:r>
      <w:r>
        <w:rPr>
          <w:rFonts w:hint="eastAsia"/>
          <w:bCs/>
          <w:highlight w:val="yellow"/>
        </w:rPr>
        <w:t>。</w:t>
      </w:r>
    </w:p>
    <w:p w14:paraId="0C40AD9B">
      <w:pPr>
        <w:snapToGrid w:val="0"/>
        <w:spacing w:line="360" w:lineRule="auto"/>
        <w:ind w:firstLine="480" w:firstLineChars="200"/>
        <w:rPr>
          <w:bCs/>
          <w:highlight w:val="green"/>
        </w:rPr>
      </w:pPr>
      <w:r>
        <w:rPr>
          <w:rFonts w:hint="eastAsia"/>
          <w:bCs/>
          <w:highlight w:val="green"/>
        </w:rPr>
        <w:t>注：“信用中国”、“中国政府采购网”、“深圳信用网”以及“深圳市政府采购监管网”为供应商信用信息的查询渠道，相关信息以开标日的查询结果为准。</w:t>
      </w:r>
    </w:p>
    <w:p w14:paraId="6DAC21F6">
      <w:pPr>
        <w:snapToGrid w:val="0"/>
        <w:spacing w:line="360" w:lineRule="auto"/>
        <w:ind w:firstLine="480" w:firstLineChars="200"/>
        <w:rPr>
          <w:rFonts w:ascii="Arial" w:hAnsi="Arial" w:eastAsia="宋体"/>
        </w:rPr>
      </w:pPr>
    </w:p>
    <w:p w14:paraId="6DB21AB1">
      <w:pPr>
        <w:pStyle w:val="34"/>
      </w:pPr>
      <w:r>
        <w:br w:type="page"/>
      </w:r>
      <w:r>
        <w:rPr>
          <w:rFonts w:hint="eastAsia"/>
        </w:rPr>
        <w:t xml:space="preserve">第二章 </w:t>
      </w:r>
      <w:bookmarkStart w:id="0" w:name="_Hlk71926094"/>
      <w:r>
        <w:rPr>
          <w:rFonts w:hint="eastAsia"/>
        </w:rPr>
        <w:t>对通用条款的补充内容及其他关键信息</w:t>
      </w:r>
      <w:bookmarkEnd w:id="0"/>
    </w:p>
    <w:p w14:paraId="60C2291A">
      <w:pPr>
        <w:keepNext/>
        <w:keepLines/>
        <w:adjustRightInd w:val="0"/>
        <w:spacing w:before="120" w:beforeLines="50" w:after="120" w:afterLines="50" w:line="360" w:lineRule="auto"/>
        <w:jc w:val="center"/>
        <w:textAlignment w:val="baseline"/>
        <w:outlineLvl w:val="2"/>
        <w:rPr>
          <w:rFonts w:ascii="宋体" w:hAnsi="宋体" w:eastAsia="宋体"/>
          <w:b/>
          <w:bCs/>
        </w:rPr>
      </w:pPr>
      <w:bookmarkStart w:id="1" w:name="_Toc60631620"/>
      <w:bookmarkStart w:id="2" w:name="_Toc73517639"/>
      <w:bookmarkStart w:id="3" w:name="_Toc60560625"/>
      <w:bookmarkStart w:id="4" w:name="_Toc73521635"/>
      <w:bookmarkStart w:id="5" w:name="_Toc101074876"/>
      <w:bookmarkStart w:id="6" w:name="_Toc73521547"/>
      <w:bookmarkStart w:id="7" w:name="_Toc73518117"/>
      <w:bookmarkStart w:id="8" w:name="_Toc100052364"/>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4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59"/>
        <w:gridCol w:w="6918"/>
      </w:tblGrid>
      <w:tr w14:paraId="2116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dxa"/>
            <w:vAlign w:val="center"/>
          </w:tcPr>
          <w:p w14:paraId="2BEE90BC">
            <w:pPr>
              <w:snapToGrid w:val="0"/>
              <w:spacing w:line="360" w:lineRule="auto"/>
              <w:jc w:val="center"/>
              <w:rPr>
                <w:rFonts w:ascii="宋体" w:hAnsi="宋体" w:eastAsia="宋体" w:cs="Arial"/>
                <w:b/>
                <w:szCs w:val="21"/>
              </w:rPr>
            </w:pPr>
            <w:r>
              <w:br w:type="page"/>
            </w:r>
            <w:r>
              <w:rPr>
                <w:rFonts w:hint="eastAsia" w:ascii="宋体" w:hAnsi="宋体" w:eastAsia="宋体" w:cs="Arial"/>
                <w:b/>
                <w:szCs w:val="21"/>
              </w:rPr>
              <w:t>通用条款对应序号</w:t>
            </w:r>
          </w:p>
        </w:tc>
        <w:tc>
          <w:tcPr>
            <w:tcW w:w="1559" w:type="dxa"/>
            <w:vAlign w:val="center"/>
          </w:tcPr>
          <w:p w14:paraId="29B08108">
            <w:pPr>
              <w:snapToGrid w:val="0"/>
              <w:spacing w:line="360" w:lineRule="auto"/>
              <w:jc w:val="center"/>
              <w:rPr>
                <w:rFonts w:ascii="宋体" w:hAnsi="宋体" w:eastAsia="宋体" w:cs="Arial"/>
                <w:b/>
                <w:szCs w:val="21"/>
              </w:rPr>
            </w:pPr>
            <w:r>
              <w:br w:type="page"/>
            </w:r>
            <w:r>
              <w:rPr>
                <w:rFonts w:hint="eastAsia" w:ascii="宋体" w:hAnsi="宋体" w:eastAsia="宋体" w:cs="Arial"/>
                <w:b/>
                <w:szCs w:val="21"/>
              </w:rPr>
              <w:t>涉及事项</w:t>
            </w:r>
          </w:p>
        </w:tc>
        <w:tc>
          <w:tcPr>
            <w:tcW w:w="6918" w:type="dxa"/>
            <w:vAlign w:val="center"/>
          </w:tcPr>
          <w:p w14:paraId="68ABBB61">
            <w:pPr>
              <w:snapToGrid w:val="0"/>
              <w:spacing w:line="360" w:lineRule="auto"/>
              <w:jc w:val="center"/>
              <w:rPr>
                <w:rFonts w:ascii="宋体" w:hAnsi="宋体" w:eastAsia="宋体" w:cs="Arial"/>
                <w:b/>
                <w:szCs w:val="21"/>
              </w:rPr>
            </w:pPr>
            <w:r>
              <w:rPr>
                <w:rFonts w:hint="eastAsia" w:ascii="宋体" w:hAnsi="宋体" w:eastAsia="宋体" w:cs="Arial"/>
                <w:b/>
                <w:szCs w:val="21"/>
              </w:rPr>
              <w:t>内容</w:t>
            </w:r>
          </w:p>
        </w:tc>
      </w:tr>
      <w:tr w14:paraId="5FD8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dxa"/>
            <w:vAlign w:val="center"/>
          </w:tcPr>
          <w:p w14:paraId="7EDAAECA">
            <w:pPr>
              <w:snapToGrid w:val="0"/>
              <w:spacing w:line="360" w:lineRule="auto"/>
              <w:jc w:val="center"/>
              <w:rPr>
                <w:rFonts w:ascii="宋体" w:hAnsi="宋体" w:eastAsia="宋体" w:cs="Arial"/>
                <w:szCs w:val="21"/>
              </w:rPr>
            </w:pPr>
            <w:r>
              <w:rPr>
                <w:rFonts w:hint="eastAsia" w:ascii="宋体" w:hAnsi="宋体" w:eastAsia="宋体" w:cs="Arial"/>
                <w:szCs w:val="21"/>
              </w:rPr>
              <w:t>3.1</w:t>
            </w:r>
          </w:p>
        </w:tc>
        <w:tc>
          <w:tcPr>
            <w:tcW w:w="1559" w:type="dxa"/>
            <w:vAlign w:val="center"/>
          </w:tcPr>
          <w:p w14:paraId="57BF3CFB">
            <w:pPr>
              <w:snapToGrid w:val="0"/>
              <w:spacing w:line="360" w:lineRule="auto"/>
              <w:jc w:val="center"/>
              <w:rPr>
                <w:rFonts w:ascii="宋体" w:hAnsi="宋体" w:eastAsia="宋体" w:cs="Arial"/>
                <w:szCs w:val="21"/>
              </w:rPr>
            </w:pPr>
            <w:r>
              <w:rPr>
                <w:rFonts w:hint="eastAsia" w:ascii="宋体" w:hAnsi="宋体" w:eastAsia="宋体" w:cs="Arial"/>
                <w:szCs w:val="21"/>
              </w:rPr>
              <w:t>采购人</w:t>
            </w:r>
          </w:p>
        </w:tc>
        <w:tc>
          <w:tcPr>
            <w:tcW w:w="6918" w:type="dxa"/>
          </w:tcPr>
          <w:p w14:paraId="6318314E">
            <w:pPr>
              <w:snapToGrid w:val="0"/>
              <w:spacing w:line="360" w:lineRule="auto"/>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深圳市福田区风湿病专科医院</w:t>
            </w:r>
          </w:p>
        </w:tc>
      </w:tr>
      <w:tr w14:paraId="1167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dxa"/>
            <w:vAlign w:val="center"/>
          </w:tcPr>
          <w:p w14:paraId="23EF17E1">
            <w:pPr>
              <w:snapToGrid w:val="0"/>
              <w:spacing w:line="360" w:lineRule="auto"/>
              <w:jc w:val="center"/>
              <w:rPr>
                <w:rFonts w:ascii="宋体" w:hAnsi="宋体" w:eastAsia="宋体" w:cs="Arial"/>
                <w:szCs w:val="21"/>
              </w:rPr>
            </w:pPr>
            <w:r>
              <w:rPr>
                <w:rFonts w:hint="eastAsia" w:ascii="宋体" w:hAnsi="宋体" w:eastAsia="宋体" w:cs="Arial"/>
                <w:szCs w:val="21"/>
              </w:rPr>
              <w:t>12/13</w:t>
            </w:r>
          </w:p>
        </w:tc>
        <w:tc>
          <w:tcPr>
            <w:tcW w:w="1559" w:type="dxa"/>
            <w:vAlign w:val="center"/>
          </w:tcPr>
          <w:p w14:paraId="1D2B57B8">
            <w:pPr>
              <w:snapToGrid w:val="0"/>
              <w:spacing w:line="360" w:lineRule="auto"/>
              <w:jc w:val="center"/>
              <w:rPr>
                <w:rFonts w:ascii="宋体" w:hAnsi="宋体" w:eastAsia="宋体" w:cs="Arial"/>
                <w:szCs w:val="21"/>
              </w:rPr>
            </w:pPr>
            <w:r>
              <w:rPr>
                <w:rFonts w:hint="eastAsia" w:ascii="宋体" w:hAnsi="宋体" w:eastAsia="宋体" w:cs="Arial"/>
                <w:szCs w:val="21"/>
              </w:rPr>
              <w:t>招标文件澄清和修改</w:t>
            </w:r>
          </w:p>
        </w:tc>
        <w:tc>
          <w:tcPr>
            <w:tcW w:w="6918" w:type="dxa"/>
          </w:tcPr>
          <w:p w14:paraId="6B576F85">
            <w:pPr>
              <w:snapToGrid w:val="0"/>
              <w:spacing w:line="360" w:lineRule="auto"/>
              <w:rPr>
                <w:rFonts w:ascii="宋体" w:hAnsi="宋体" w:eastAsia="宋体" w:cs="Arial"/>
                <w:szCs w:val="21"/>
              </w:rPr>
            </w:pPr>
            <w:r>
              <w:rPr>
                <w:rFonts w:hint="eastAsia" w:ascii="宋体" w:hAnsi="宋体" w:eastAsia="宋体" w:cs="Arial"/>
                <w:szCs w:val="21"/>
              </w:rPr>
              <w:t>对招标文件澄清/修改时间不晚于投标截止日三日前，投标人有义务在招标期间在</w:t>
            </w:r>
            <w:r>
              <w:rPr>
                <w:rFonts w:hint="eastAsia" w:ascii="宋体" w:hAnsi="宋体" w:eastAsia="宋体" w:cs="Arial"/>
                <w:b/>
                <w:szCs w:val="21"/>
                <w:lang w:eastAsia="zh-CN"/>
              </w:rPr>
              <w:t>深圳市福田区风湿病专科医院</w:t>
            </w:r>
            <w:r>
              <w:rPr>
                <w:rFonts w:hint="eastAsia" w:ascii="宋体" w:hAnsi="宋体" w:eastAsia="宋体" w:cs="Arial"/>
                <w:szCs w:val="21"/>
              </w:rPr>
              <w:t>网站浏览与本项目有关的澄清和修改信息</w:t>
            </w:r>
          </w:p>
        </w:tc>
      </w:tr>
      <w:tr w14:paraId="1313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dxa"/>
            <w:vAlign w:val="center"/>
          </w:tcPr>
          <w:p w14:paraId="5C11032C">
            <w:pPr>
              <w:snapToGrid w:val="0"/>
              <w:spacing w:line="360" w:lineRule="auto"/>
              <w:jc w:val="center"/>
              <w:rPr>
                <w:rFonts w:ascii="宋体" w:hAnsi="宋体" w:eastAsia="宋体" w:cs="Arial"/>
                <w:szCs w:val="21"/>
              </w:rPr>
            </w:pPr>
            <w:r>
              <w:rPr>
                <w:rFonts w:hint="eastAsia" w:ascii="宋体" w:hAnsi="宋体" w:eastAsia="宋体" w:cs="Arial"/>
                <w:szCs w:val="21"/>
              </w:rPr>
              <w:t>20</w:t>
            </w:r>
          </w:p>
        </w:tc>
        <w:tc>
          <w:tcPr>
            <w:tcW w:w="1559" w:type="dxa"/>
            <w:vAlign w:val="center"/>
          </w:tcPr>
          <w:p w14:paraId="3AB563F1">
            <w:pPr>
              <w:snapToGrid w:val="0"/>
              <w:spacing w:line="360" w:lineRule="auto"/>
              <w:jc w:val="center"/>
              <w:rPr>
                <w:rFonts w:ascii="宋体" w:hAnsi="宋体" w:eastAsia="宋体" w:cs="Arial"/>
                <w:szCs w:val="21"/>
              </w:rPr>
            </w:pPr>
            <w:r>
              <w:rPr>
                <w:rFonts w:hint="eastAsia" w:ascii="宋体" w:hAnsi="宋体" w:eastAsia="宋体" w:cs="Arial"/>
                <w:szCs w:val="21"/>
              </w:rPr>
              <w:t>投标有效期</w:t>
            </w:r>
          </w:p>
        </w:tc>
        <w:tc>
          <w:tcPr>
            <w:tcW w:w="6918" w:type="dxa"/>
          </w:tcPr>
          <w:p w14:paraId="21891BEC">
            <w:pPr>
              <w:snapToGrid w:val="0"/>
              <w:spacing w:line="360" w:lineRule="auto"/>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w:t>
            </w:r>
            <w:r>
              <w:rPr>
                <w:rFonts w:hint="eastAsia" w:ascii="宋体" w:hAnsi="宋体" w:eastAsia="宋体" w:cs="Arial"/>
                <w:szCs w:val="21"/>
              </w:rPr>
              <w:t>个日历日。</w:t>
            </w:r>
          </w:p>
        </w:tc>
      </w:tr>
      <w:tr w14:paraId="12D3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dxa"/>
            <w:vAlign w:val="center"/>
          </w:tcPr>
          <w:p w14:paraId="1BEF2B30">
            <w:pPr>
              <w:snapToGrid w:val="0"/>
              <w:spacing w:line="360" w:lineRule="auto"/>
              <w:jc w:val="center"/>
              <w:rPr>
                <w:rFonts w:ascii="宋体" w:hAnsi="宋体" w:eastAsia="宋体" w:cs="Arial"/>
                <w:szCs w:val="21"/>
              </w:rPr>
            </w:pPr>
            <w:r>
              <w:rPr>
                <w:rFonts w:hint="eastAsia" w:ascii="宋体" w:hAnsi="宋体" w:eastAsia="宋体" w:cs="Arial"/>
                <w:szCs w:val="21"/>
              </w:rPr>
              <w:t>33</w:t>
            </w:r>
          </w:p>
        </w:tc>
        <w:tc>
          <w:tcPr>
            <w:tcW w:w="1559" w:type="dxa"/>
            <w:vAlign w:val="center"/>
          </w:tcPr>
          <w:p w14:paraId="4896D757">
            <w:pPr>
              <w:snapToGrid w:val="0"/>
              <w:spacing w:line="360" w:lineRule="auto"/>
              <w:jc w:val="center"/>
              <w:rPr>
                <w:rFonts w:ascii="宋体" w:hAnsi="宋体" w:eastAsia="宋体" w:cs="Arial"/>
                <w:szCs w:val="21"/>
              </w:rPr>
            </w:pPr>
            <w:r>
              <w:rPr>
                <w:rFonts w:hint="eastAsia" w:ascii="宋体" w:hAnsi="宋体" w:eastAsia="宋体" w:cs="Arial"/>
                <w:szCs w:val="21"/>
              </w:rPr>
              <w:t>澄清有关问题</w:t>
            </w:r>
          </w:p>
        </w:tc>
        <w:tc>
          <w:tcPr>
            <w:tcW w:w="6918" w:type="dxa"/>
          </w:tcPr>
          <w:p w14:paraId="70DA6975">
            <w:pPr>
              <w:snapToGrid w:val="0"/>
              <w:spacing w:line="360" w:lineRule="auto"/>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评审委员会有权做出不利于投标人的判断，投标供应商自行承担由此产生的后果。</w:t>
            </w:r>
          </w:p>
        </w:tc>
      </w:tr>
      <w:tr w14:paraId="2C7F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dxa"/>
            <w:vAlign w:val="center"/>
          </w:tcPr>
          <w:p w14:paraId="1F7597CF">
            <w:pPr>
              <w:snapToGrid w:val="0"/>
              <w:spacing w:line="360" w:lineRule="auto"/>
              <w:jc w:val="center"/>
              <w:rPr>
                <w:rFonts w:ascii="宋体" w:hAnsi="宋体" w:eastAsia="宋体" w:cs="Arial"/>
                <w:szCs w:val="21"/>
              </w:rPr>
            </w:pPr>
            <w:r>
              <w:rPr>
                <w:rFonts w:hint="eastAsia" w:ascii="宋体" w:hAnsi="宋体" w:eastAsia="宋体" w:cs="Arial"/>
                <w:szCs w:val="21"/>
              </w:rPr>
              <w:t>37/38</w:t>
            </w:r>
          </w:p>
        </w:tc>
        <w:tc>
          <w:tcPr>
            <w:tcW w:w="1559" w:type="dxa"/>
            <w:vAlign w:val="center"/>
          </w:tcPr>
          <w:p w14:paraId="0181E594">
            <w:pPr>
              <w:snapToGrid w:val="0"/>
              <w:spacing w:line="360" w:lineRule="auto"/>
              <w:jc w:val="center"/>
              <w:rPr>
                <w:rFonts w:ascii="宋体" w:hAnsi="宋体" w:eastAsia="宋体" w:cs="Arial"/>
                <w:szCs w:val="21"/>
              </w:rPr>
            </w:pPr>
            <w:r>
              <w:rPr>
                <w:rFonts w:hint="eastAsia" w:ascii="宋体" w:hAnsi="宋体" w:eastAsia="宋体" w:cs="Arial"/>
                <w:szCs w:val="21"/>
              </w:rPr>
              <w:t>评审方法和定标方法</w:t>
            </w:r>
          </w:p>
        </w:tc>
        <w:tc>
          <w:tcPr>
            <w:tcW w:w="6918" w:type="dxa"/>
          </w:tcPr>
          <w:p w14:paraId="470B2BC2">
            <w:pPr>
              <w:snapToGrid w:val="0"/>
              <w:spacing w:line="360" w:lineRule="auto"/>
              <w:rPr>
                <w:rFonts w:ascii="宋体" w:hAnsi="宋体" w:eastAsia="宋体"/>
                <w:b/>
                <w:color w:val="FF0000"/>
                <w:szCs w:val="21"/>
              </w:rPr>
            </w:pPr>
            <w:r>
              <w:rPr>
                <w:rFonts w:hint="eastAsia" w:ascii="宋体" w:hAnsi="宋体" w:eastAsia="宋体"/>
                <w:b/>
                <w:color w:val="FF0000"/>
                <w:szCs w:val="21"/>
              </w:rPr>
              <w:t>本项目（包组）评审方法：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755903CB">
            <w:pPr>
              <w:snapToGrid w:val="0"/>
              <w:spacing w:line="360" w:lineRule="auto"/>
              <w:rPr>
                <w:rFonts w:ascii="Arial" w:hAnsi="Arial" w:eastAsia="宋体"/>
                <w:color w:val="0000FF"/>
                <w:szCs w:val="21"/>
              </w:rPr>
            </w:pPr>
            <w:r>
              <w:rPr>
                <w:rFonts w:hint="eastAsia" w:ascii="Arial" w:hAnsi="Arial" w:eastAsia="宋体"/>
                <w:color w:val="0000FF"/>
                <w:szCs w:val="21"/>
              </w:rPr>
              <w:t>中标供应商数量为</w:t>
            </w:r>
            <w:r>
              <w:rPr>
                <w:rFonts w:hint="eastAsia" w:ascii="Arial" w:hAnsi="Arial" w:eastAsia="宋体"/>
                <w:color w:val="0000FF"/>
                <w:u w:val="single"/>
              </w:rPr>
              <w:t xml:space="preserve"> </w:t>
            </w:r>
            <w:r>
              <w:rPr>
                <w:rFonts w:hint="eastAsia" w:ascii="Arial" w:hAnsi="Arial" w:eastAsia="宋体"/>
                <w:color w:val="0000FF"/>
                <w:u w:val="single"/>
                <w:lang w:val="en-US" w:eastAsia="zh-CN"/>
              </w:rPr>
              <w:t>3</w:t>
            </w:r>
            <w:r>
              <w:rPr>
                <w:rFonts w:hint="eastAsia" w:ascii="Arial" w:hAnsi="Arial" w:eastAsia="宋体"/>
                <w:color w:val="0000FF"/>
                <w:u w:val="single"/>
              </w:rPr>
              <w:t xml:space="preserve"> </w:t>
            </w:r>
            <w:r>
              <w:rPr>
                <w:rFonts w:hint="eastAsia" w:ascii="Arial" w:hAnsi="Arial" w:eastAsia="宋体"/>
                <w:color w:val="0000FF"/>
                <w:szCs w:val="21"/>
              </w:rPr>
              <w:t>家。</w:t>
            </w:r>
          </w:p>
          <w:p w14:paraId="59CDA3D0">
            <w:pPr>
              <w:snapToGrid w:val="0"/>
              <w:spacing w:line="360" w:lineRule="auto"/>
              <w:rPr>
                <w:rFonts w:ascii="宋体" w:hAnsi="宋体" w:eastAsia="宋体" w:cs="Arial"/>
                <w:b/>
                <w:color w:val="FF0000"/>
                <w:sz w:val="28"/>
                <w:szCs w:val="28"/>
                <w:highlight w:val="green"/>
              </w:rPr>
            </w:pPr>
            <w:r>
              <w:rPr>
                <w:rFonts w:hint="eastAsia" w:ascii="宋体" w:hAnsi="宋体"/>
              </w:rPr>
              <w:t>注：</w:t>
            </w:r>
            <w:r>
              <w:rPr>
                <w:rFonts w:ascii="宋体" w:hAnsi="宋体"/>
              </w:rPr>
              <w:t>如唯一候选中标供应商被认定投标或中标无效，</w:t>
            </w:r>
            <w:r>
              <w:rPr>
                <w:rFonts w:hint="eastAsia" w:ascii="宋体" w:hAnsi="宋体"/>
              </w:rPr>
              <w:t>项目</w:t>
            </w:r>
            <w:r>
              <w:rPr>
                <w:rFonts w:ascii="宋体" w:hAnsi="宋体"/>
              </w:rPr>
              <w:t>重新采购</w:t>
            </w:r>
            <w:r>
              <w:rPr>
                <w:rFonts w:hint="eastAsia" w:ascii="宋体" w:hAnsi="宋体"/>
              </w:rPr>
              <w:t>。</w:t>
            </w:r>
          </w:p>
        </w:tc>
      </w:tr>
      <w:tr w14:paraId="2681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3" w:type="dxa"/>
            <w:vAlign w:val="center"/>
          </w:tcPr>
          <w:p w14:paraId="02E7CA3E">
            <w:pPr>
              <w:snapToGrid w:val="0"/>
              <w:spacing w:line="360" w:lineRule="auto"/>
              <w:jc w:val="center"/>
              <w:rPr>
                <w:rFonts w:ascii="宋体" w:hAnsi="宋体" w:eastAsia="宋体" w:cs="Arial"/>
                <w:szCs w:val="21"/>
              </w:rPr>
            </w:pPr>
            <w:r>
              <w:rPr>
                <w:rFonts w:hint="eastAsia" w:ascii="宋体" w:hAnsi="宋体" w:eastAsia="宋体" w:cs="Arial"/>
                <w:szCs w:val="21"/>
              </w:rPr>
              <w:t>38.3</w:t>
            </w:r>
          </w:p>
        </w:tc>
        <w:tc>
          <w:tcPr>
            <w:tcW w:w="1559" w:type="dxa"/>
            <w:vAlign w:val="center"/>
          </w:tcPr>
          <w:p w14:paraId="71308ADD">
            <w:pPr>
              <w:snapToGrid w:val="0"/>
              <w:spacing w:line="360" w:lineRule="auto"/>
              <w:jc w:val="center"/>
              <w:rPr>
                <w:rFonts w:ascii="宋体" w:hAnsi="宋体" w:eastAsia="宋体" w:cs="Arial"/>
                <w:szCs w:val="21"/>
              </w:rPr>
            </w:pPr>
            <w:r>
              <w:rPr>
                <w:rFonts w:hint="eastAsia" w:ascii="宋体" w:hAnsi="宋体" w:eastAsia="宋体" w:cs="Arial"/>
                <w:szCs w:val="21"/>
              </w:rPr>
              <w:t>随机抽取</w:t>
            </w:r>
          </w:p>
        </w:tc>
        <w:tc>
          <w:tcPr>
            <w:tcW w:w="6918" w:type="dxa"/>
          </w:tcPr>
          <w:p w14:paraId="56F34667">
            <w:pPr>
              <w:snapToGrid w:val="0"/>
              <w:spacing w:line="360" w:lineRule="auto"/>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bl>
    <w:p w14:paraId="709A6671">
      <w:pPr>
        <w:spacing w:line="360" w:lineRule="auto"/>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3B70BB46">
      <w:pPr>
        <w:keepNext/>
        <w:keepLines/>
        <w:adjustRightInd w:val="0"/>
        <w:spacing w:before="120" w:beforeLines="50" w:after="120" w:afterLines="50" w:line="360" w:lineRule="auto"/>
        <w:jc w:val="center"/>
        <w:textAlignment w:val="baseline"/>
        <w:outlineLvl w:val="2"/>
        <w:rPr>
          <w:rFonts w:ascii="宋体" w:hAnsi="宋体" w:eastAsia="宋体"/>
          <w:b/>
          <w:bCs/>
        </w:rPr>
      </w:pPr>
      <w:r>
        <w:rPr>
          <w:rFonts w:hint="eastAsia" w:ascii="宋体" w:hAnsi="宋体" w:eastAsia="宋体"/>
          <w:b/>
          <w:bCs/>
        </w:rPr>
        <w:t>二、其他关键信息</w:t>
      </w:r>
    </w:p>
    <w:p w14:paraId="110214C5">
      <w:pPr>
        <w:tabs>
          <w:tab w:val="left" w:pos="720"/>
        </w:tabs>
        <w:spacing w:line="360" w:lineRule="auto"/>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6CA9391F">
      <w:pPr>
        <w:tabs>
          <w:tab w:val="left" w:pos="720"/>
        </w:tabs>
        <w:spacing w:line="360" w:lineRule="auto"/>
        <w:rPr>
          <w:rFonts w:ascii="黑体" w:hAnsi="宋体" w:eastAsia="黑体"/>
          <w:bCs/>
        </w:rPr>
      </w:pPr>
      <w:r>
        <w:rPr>
          <w:rFonts w:hint="eastAsia" w:ascii="黑体" w:hAnsi="宋体" w:eastAsia="黑体"/>
          <w:bCs/>
        </w:rPr>
        <w:t>1、关于包组的定义</w:t>
      </w:r>
    </w:p>
    <w:p w14:paraId="239AA8B0">
      <w:pPr>
        <w:tabs>
          <w:tab w:val="left" w:pos="720"/>
        </w:tabs>
        <w:spacing w:line="360" w:lineRule="auto"/>
        <w:ind w:firstLine="48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14:paraId="353F380B">
      <w:pPr>
        <w:tabs>
          <w:tab w:val="left" w:pos="720"/>
        </w:tabs>
        <w:spacing w:line="360" w:lineRule="auto"/>
        <w:rPr>
          <w:rFonts w:ascii="黑体" w:hAnsi="宋体" w:eastAsia="黑体"/>
        </w:rPr>
      </w:pPr>
      <w:r>
        <w:rPr>
          <w:rFonts w:hint="eastAsia" w:ascii="黑体" w:hAnsi="宋体" w:eastAsia="黑体"/>
        </w:rPr>
        <w:t>（二）其他事项</w:t>
      </w:r>
    </w:p>
    <w:p w14:paraId="0E0BA86C">
      <w:pPr>
        <w:tabs>
          <w:tab w:val="left" w:pos="720"/>
        </w:tabs>
        <w:spacing w:line="360" w:lineRule="auto"/>
        <w:rPr>
          <w:rFonts w:ascii="黑体" w:hAnsi="宋体" w:eastAsia="黑体"/>
        </w:rPr>
      </w:pPr>
      <w:r>
        <w:rPr>
          <w:rFonts w:hint="eastAsia" w:ascii="黑体" w:hAnsi="宋体" w:eastAsia="黑体"/>
        </w:rPr>
        <w:t>1、关于享受优惠政策的主体及价格扣除比例</w:t>
      </w:r>
      <w:r>
        <w:rPr>
          <w:rFonts w:hint="eastAsia" w:ascii="黑体" w:hAnsi="宋体" w:eastAsia="黑体"/>
          <w:highlight w:val="yellow"/>
        </w:rPr>
        <w:t>（本项目属于专门面向中小企业采购的项目，不适用该优惠政策）</w:t>
      </w:r>
    </w:p>
    <w:p w14:paraId="4E2F8202">
      <w:pPr>
        <w:spacing w:line="360" w:lineRule="auto"/>
        <w:ind w:firstLine="470" w:firstLineChars="196"/>
        <w:rPr>
          <w:rFonts w:ascii="Arial" w:hAnsi="Arial" w:eastAsia="宋体"/>
          <w:b/>
          <w:color w:val="0000FF"/>
          <w:szCs w:val="21"/>
        </w:rPr>
      </w:pPr>
      <w:r>
        <w:rPr>
          <w:rFonts w:hint="eastAsia" w:ascii="宋体" w:hAnsi="宋体"/>
        </w:rPr>
        <w:t>1、投标人提供的服务全部均由优惠主体承接的，对其投标总价给予</w:t>
      </w:r>
      <w:r>
        <w:rPr>
          <w:rFonts w:hint="eastAsia" w:ascii="宋体" w:hAnsi="宋体" w:eastAsia="宋体"/>
          <w:b/>
          <w:color w:val="0000FF"/>
          <w:highlight w:val="yellow"/>
          <w:u w:val="single"/>
        </w:rPr>
        <w:t>/%</w:t>
      </w:r>
      <w:r>
        <w:rPr>
          <w:rFonts w:hint="eastAsia" w:ascii="宋体" w:hAnsi="宋体"/>
        </w:rPr>
        <w:t>的扣除，用扣除后的价格参与评审。满足多项优惠政策的企业，不重复享受多项价格扣除政策。如为联合体投标，联合体共同投标协议中明确注明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约定优惠主体的协议合同金额占到联合体协议总金额30%以上的，</w:t>
      </w:r>
      <w:r>
        <w:rPr>
          <w:rFonts w:hint="eastAsia" w:ascii="宋体" w:hAnsi="宋体"/>
        </w:rPr>
        <w:t>对该联合体的投标总价给予</w:t>
      </w:r>
      <w:r>
        <w:rPr>
          <w:rFonts w:ascii="宋体" w:hAnsi="宋体"/>
          <w:b/>
          <w:highlight w:val="green"/>
          <w:u w:val="single"/>
        </w:rPr>
        <w:t>__%</w:t>
      </w:r>
      <w:r>
        <w:rPr>
          <w:rFonts w:hint="eastAsia" w:ascii="宋体" w:hAnsi="宋体"/>
        </w:rPr>
        <w:t>的扣除，用扣除后的价格参与评审。联合体各方均为优惠主体的，该联合体视同为优惠主体，按前款规定享受评标优惠政策。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12FB8137">
      <w:pPr>
        <w:tabs>
          <w:tab w:val="left" w:pos="720"/>
        </w:tabs>
        <w:spacing w:line="360" w:lineRule="auto"/>
        <w:ind w:firstLine="480" w:firstLineChars="200"/>
        <w:rPr>
          <w:rFonts w:ascii="宋体" w:hAnsi="宋体"/>
          <w:bCs/>
        </w:rPr>
      </w:pPr>
      <w:r>
        <w:rPr>
          <w:rFonts w:hint="eastAsia" w:ascii="黑体" w:hAnsi="宋体" w:eastAsia="黑体"/>
        </w:rPr>
        <w:t>备注：</w:t>
      </w:r>
      <w:r>
        <w:rPr>
          <w:rFonts w:hint="eastAsia" w:ascii="宋体" w:hAnsi="宋体"/>
        </w:rPr>
        <w:t>（1）</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2）</w:t>
      </w:r>
      <w:r>
        <w:rPr>
          <w:rFonts w:hint="eastAsia" w:ascii="宋体" w:hAnsi="宋体"/>
          <w:b/>
        </w:rPr>
        <w:t>优惠主体承接</w:t>
      </w:r>
      <w:r>
        <w:rPr>
          <w:rFonts w:hint="eastAsia" w:ascii="宋体" w:hAnsi="宋体"/>
        </w:rPr>
        <w:t>是指提供服务的人员为优惠主体依照《中华人民共和国劳动合同法》订立劳动合同的从业人员。（3）</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76A7EDE5">
      <w:pPr>
        <w:tabs>
          <w:tab w:val="left" w:pos="720"/>
        </w:tabs>
        <w:spacing w:line="360" w:lineRule="auto"/>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427228D2">
      <w:pPr>
        <w:spacing w:line="360" w:lineRule="auto"/>
        <w:ind w:firstLine="480" w:firstLineChars="200"/>
        <w:rPr>
          <w:rFonts w:ascii="宋体" w:hAnsi="宋体"/>
        </w:rPr>
      </w:pPr>
    </w:p>
    <w:p w14:paraId="5913391D">
      <w:pPr>
        <w:rPr>
          <w:rFonts w:ascii="宋体" w:hAnsi="宋体" w:eastAsia="宋体"/>
          <w:b/>
          <w:bCs/>
          <w:sz w:val="28"/>
          <w:szCs w:val="28"/>
        </w:rPr>
      </w:pPr>
      <w:r>
        <w:rPr>
          <w:rFonts w:ascii="宋体" w:hAnsi="宋体" w:eastAsia="宋体"/>
          <w:b/>
          <w:bCs/>
          <w:sz w:val="28"/>
          <w:szCs w:val="28"/>
        </w:rPr>
        <w:br w:type="page"/>
      </w:r>
    </w:p>
    <w:p w14:paraId="7581F2AB"/>
    <w:p w14:paraId="7973C91D">
      <w:pPr>
        <w:keepNext/>
        <w:keepLines/>
        <w:adjustRightInd w:val="0"/>
        <w:spacing w:before="260" w:after="260" w:line="360" w:lineRule="auto"/>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A5EF77A">
      <w:pPr>
        <w:keepNext/>
        <w:keepLines/>
        <w:tabs>
          <w:tab w:val="left" w:pos="1680"/>
        </w:tabs>
        <w:spacing w:before="260" w:after="60" w:afterLines="25" w:line="360" w:lineRule="auto"/>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45"/>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9"/>
        <w:gridCol w:w="5763"/>
        <w:gridCol w:w="2268"/>
      </w:tblGrid>
      <w:tr w14:paraId="646B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859" w:type="dxa"/>
            <w:shd w:val="clear" w:color="auto" w:fill="C6D9F1"/>
            <w:vAlign w:val="center"/>
          </w:tcPr>
          <w:p w14:paraId="2BDC6AD2">
            <w:pPr>
              <w:spacing w:line="360" w:lineRule="auto"/>
              <w:jc w:val="center"/>
              <w:rPr>
                <w:b/>
                <w:bCs/>
              </w:rPr>
            </w:pPr>
            <w:r>
              <w:rPr>
                <w:rFonts w:hint="eastAsia"/>
                <w:b/>
                <w:bCs/>
              </w:rPr>
              <w:t>序号</w:t>
            </w:r>
          </w:p>
        </w:tc>
        <w:tc>
          <w:tcPr>
            <w:tcW w:w="5763" w:type="dxa"/>
            <w:shd w:val="clear" w:color="auto" w:fill="C6D9F1"/>
            <w:vAlign w:val="center"/>
          </w:tcPr>
          <w:p w14:paraId="443AD730">
            <w:pPr>
              <w:spacing w:line="360" w:lineRule="auto"/>
              <w:jc w:val="center"/>
              <w:rPr>
                <w:b/>
                <w:bCs/>
              </w:rPr>
            </w:pPr>
            <w:r>
              <w:rPr>
                <w:rFonts w:hint="eastAsia"/>
                <w:b/>
                <w:bCs/>
              </w:rPr>
              <w:t>采购项目名称</w:t>
            </w:r>
          </w:p>
        </w:tc>
        <w:tc>
          <w:tcPr>
            <w:tcW w:w="2268" w:type="dxa"/>
            <w:shd w:val="clear" w:color="auto" w:fill="C6D9F1"/>
            <w:vAlign w:val="center"/>
          </w:tcPr>
          <w:p w14:paraId="06766A00">
            <w:pPr>
              <w:spacing w:line="360" w:lineRule="auto"/>
              <w:jc w:val="center"/>
              <w:rPr>
                <w:b/>
                <w:bCs/>
              </w:rPr>
            </w:pPr>
            <w:r>
              <w:rPr>
                <w:rFonts w:hint="eastAsia" w:asciiTheme="minorEastAsia" w:hAnsiTheme="minorEastAsia"/>
                <w:b/>
                <w:bCs/>
              </w:rPr>
              <w:t>预算限额</w:t>
            </w:r>
            <w:r>
              <w:rPr>
                <w:rFonts w:asciiTheme="minorEastAsia" w:hAnsiTheme="minorEastAsia"/>
                <w:b/>
                <w:bCs/>
              </w:rPr>
              <w:br w:type="textWrapping"/>
            </w:r>
            <w:r>
              <w:rPr>
                <w:rFonts w:hint="eastAsia" w:asciiTheme="minorEastAsia" w:hAnsiTheme="minorEastAsia"/>
                <w:b/>
                <w:bCs/>
              </w:rPr>
              <w:t>(支付上限)</w:t>
            </w:r>
          </w:p>
        </w:tc>
      </w:tr>
      <w:tr w14:paraId="0987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7" w:hRule="atLeast"/>
          <w:jc w:val="center"/>
        </w:trPr>
        <w:tc>
          <w:tcPr>
            <w:tcW w:w="859" w:type="dxa"/>
            <w:vAlign w:val="center"/>
          </w:tcPr>
          <w:p w14:paraId="61A513F3">
            <w:pPr>
              <w:spacing w:line="360" w:lineRule="auto"/>
              <w:jc w:val="center"/>
              <w:rPr>
                <w:bCs/>
              </w:rPr>
            </w:pPr>
            <w:r>
              <w:rPr>
                <w:rFonts w:hint="eastAsia"/>
                <w:bCs/>
              </w:rPr>
              <w:t>1</w:t>
            </w:r>
          </w:p>
        </w:tc>
        <w:tc>
          <w:tcPr>
            <w:tcW w:w="5763" w:type="dxa"/>
            <w:vAlign w:val="center"/>
          </w:tcPr>
          <w:p w14:paraId="4D4CE2E9">
            <w:pPr>
              <w:spacing w:line="360" w:lineRule="auto"/>
              <w:jc w:val="center"/>
              <w:rPr>
                <w:bCs/>
              </w:rPr>
            </w:pPr>
            <w:r>
              <w:rPr>
                <w:rFonts w:hint="eastAsia"/>
                <w:bCs/>
                <w:lang w:eastAsia="zh-CN"/>
              </w:rPr>
              <w:t>深圳市福田区风湿病专科医院</w:t>
            </w:r>
            <w:r>
              <w:rPr>
                <w:rFonts w:hint="eastAsia"/>
                <w:bCs/>
              </w:rPr>
              <w:t>零星修缮工程服务项目</w:t>
            </w:r>
          </w:p>
        </w:tc>
        <w:tc>
          <w:tcPr>
            <w:tcW w:w="2268" w:type="dxa"/>
            <w:vAlign w:val="center"/>
          </w:tcPr>
          <w:p w14:paraId="0D5A0140">
            <w:pPr>
              <w:spacing w:line="360" w:lineRule="auto"/>
              <w:jc w:val="center"/>
              <w:rPr>
                <w:rFonts w:hint="default" w:eastAsiaTheme="minorEastAsia"/>
                <w:b/>
                <w:bCs/>
                <w:lang w:val="en-US" w:eastAsia="zh-CN"/>
              </w:rPr>
            </w:pPr>
            <w:r>
              <w:rPr>
                <w:rFonts w:hint="eastAsia"/>
                <w:b/>
                <w:bCs/>
                <w:lang w:val="en-US" w:eastAsia="zh-CN"/>
              </w:rPr>
              <w:t>无</w:t>
            </w:r>
          </w:p>
        </w:tc>
      </w:tr>
    </w:tbl>
    <w:p w14:paraId="5B04E61F">
      <w:pPr>
        <w:keepNext/>
        <w:keepLines/>
        <w:tabs>
          <w:tab w:val="left" w:pos="1680"/>
        </w:tabs>
        <w:spacing w:before="260" w:after="60" w:afterLines="25" w:line="360" w:lineRule="auto"/>
        <w:jc w:val="center"/>
        <w:outlineLvl w:val="2"/>
        <w:rPr>
          <w:rFonts w:ascii="Arial" w:hAnsi="Arial" w:eastAsia="宋体"/>
          <w:b/>
          <w:sz w:val="32"/>
          <w:szCs w:val="32"/>
        </w:rPr>
      </w:pPr>
      <w:r>
        <w:rPr>
          <w:rFonts w:hint="eastAsia" w:ascii="Arial" w:hAnsi="Arial" w:eastAsia="宋体"/>
          <w:b/>
          <w:sz w:val="32"/>
          <w:szCs w:val="32"/>
        </w:rPr>
        <w:t>二、服务需求明细</w:t>
      </w:r>
    </w:p>
    <w:tbl>
      <w:tblPr>
        <w:tblStyle w:val="45"/>
        <w:tblW w:w="9019" w:type="dxa"/>
        <w:jc w:val="center"/>
        <w:tblLayout w:type="fixed"/>
        <w:tblCellMar>
          <w:top w:w="15" w:type="dxa"/>
          <w:left w:w="15" w:type="dxa"/>
          <w:bottom w:w="15" w:type="dxa"/>
          <w:right w:w="15" w:type="dxa"/>
        </w:tblCellMar>
      </w:tblPr>
      <w:tblGrid>
        <w:gridCol w:w="691"/>
        <w:gridCol w:w="3969"/>
        <w:gridCol w:w="869"/>
        <w:gridCol w:w="850"/>
        <w:gridCol w:w="1542"/>
        <w:gridCol w:w="1098"/>
      </w:tblGrid>
      <w:tr w14:paraId="0C8B0514">
        <w:tblPrEx>
          <w:tblCellMar>
            <w:top w:w="15" w:type="dxa"/>
            <w:left w:w="15" w:type="dxa"/>
            <w:bottom w:w="15" w:type="dxa"/>
            <w:right w:w="15" w:type="dxa"/>
          </w:tblCellMar>
        </w:tblPrEx>
        <w:trPr>
          <w:trHeight w:val="552" w:hRule="atLeast"/>
          <w:jc w:val="center"/>
        </w:trPr>
        <w:tc>
          <w:tcPr>
            <w:tcW w:w="691"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F14A4A3">
            <w:pPr>
              <w:spacing w:line="360" w:lineRule="auto"/>
              <w:jc w:val="center"/>
              <w:rPr>
                <w:b/>
                <w:bCs/>
              </w:rPr>
            </w:pPr>
            <w:r>
              <w:rPr>
                <w:rFonts w:hint="eastAsia"/>
                <w:b/>
                <w:bCs/>
              </w:rPr>
              <w:t>序号</w:t>
            </w:r>
          </w:p>
        </w:tc>
        <w:tc>
          <w:tcPr>
            <w:tcW w:w="3969" w:type="dxa"/>
            <w:tcBorders>
              <w:top w:val="single" w:color="000000" w:sz="4" w:space="0"/>
              <w:left w:val="single" w:color="auto" w:sz="4" w:space="0"/>
              <w:bottom w:val="single" w:color="000000" w:sz="4" w:space="0"/>
              <w:right w:val="single" w:color="000000" w:sz="4" w:space="0"/>
            </w:tcBorders>
            <w:shd w:val="clear" w:color="auto" w:fill="C6D9F1"/>
            <w:vAlign w:val="center"/>
          </w:tcPr>
          <w:p w14:paraId="2EC3EF5D">
            <w:pPr>
              <w:spacing w:line="360" w:lineRule="auto"/>
              <w:jc w:val="center"/>
              <w:rPr>
                <w:b/>
                <w:bCs/>
              </w:rPr>
            </w:pPr>
            <w:r>
              <w:rPr>
                <w:rFonts w:hint="eastAsia"/>
                <w:b/>
                <w:bCs/>
              </w:rPr>
              <w:t>服务名称（标的名称）</w:t>
            </w:r>
          </w:p>
        </w:tc>
        <w:tc>
          <w:tcPr>
            <w:tcW w:w="869"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7FF903F">
            <w:pPr>
              <w:spacing w:line="360" w:lineRule="auto"/>
              <w:jc w:val="center"/>
              <w:rPr>
                <w:b/>
                <w:bCs/>
              </w:rPr>
            </w:pPr>
            <w:r>
              <w:rPr>
                <w:rFonts w:hint="eastAsia"/>
                <w:b/>
                <w:bCs/>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3804BFD">
            <w:pPr>
              <w:spacing w:line="360" w:lineRule="auto"/>
              <w:jc w:val="center"/>
              <w:rPr>
                <w:b/>
                <w:bCs/>
              </w:rPr>
            </w:pPr>
            <w:r>
              <w:rPr>
                <w:rFonts w:hint="eastAsia"/>
                <w:b/>
                <w:bCs/>
              </w:rPr>
              <w:t>数量</w:t>
            </w:r>
          </w:p>
        </w:tc>
        <w:tc>
          <w:tcPr>
            <w:tcW w:w="154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07C4C93">
            <w:pPr>
              <w:spacing w:line="360" w:lineRule="auto"/>
              <w:jc w:val="center"/>
              <w:rPr>
                <w:b/>
                <w:bCs/>
              </w:rPr>
            </w:pPr>
            <w:r>
              <w:rPr>
                <w:rFonts w:hint="eastAsia"/>
                <w:b/>
                <w:bCs/>
              </w:rPr>
              <w:t>所属行业</w:t>
            </w:r>
          </w:p>
        </w:tc>
        <w:tc>
          <w:tcPr>
            <w:tcW w:w="109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029CF4C">
            <w:pPr>
              <w:spacing w:line="360" w:lineRule="auto"/>
              <w:jc w:val="center"/>
              <w:rPr>
                <w:b/>
                <w:bCs/>
                <w:highlight w:val="green"/>
              </w:rPr>
            </w:pPr>
            <w:r>
              <w:rPr>
                <w:rFonts w:hint="eastAsia"/>
                <w:b/>
                <w:bCs/>
              </w:rPr>
              <w:t>备注</w:t>
            </w:r>
          </w:p>
        </w:tc>
      </w:tr>
      <w:tr w14:paraId="29F0F1CA">
        <w:tblPrEx>
          <w:tblCellMar>
            <w:top w:w="15" w:type="dxa"/>
            <w:left w:w="15" w:type="dxa"/>
            <w:bottom w:w="15" w:type="dxa"/>
            <w:right w:w="15" w:type="dxa"/>
          </w:tblCellMar>
        </w:tblPrEx>
        <w:trPr>
          <w:trHeight w:val="841" w:hRule="atLeast"/>
          <w:jc w:val="center"/>
        </w:trPr>
        <w:tc>
          <w:tcPr>
            <w:tcW w:w="691" w:type="dxa"/>
            <w:tcBorders>
              <w:top w:val="single" w:color="000000" w:sz="4" w:space="0"/>
              <w:left w:val="single" w:color="000000" w:sz="4" w:space="0"/>
              <w:bottom w:val="single" w:color="000000" w:sz="4" w:space="0"/>
              <w:right w:val="single" w:color="auto" w:sz="4" w:space="0"/>
            </w:tcBorders>
            <w:vAlign w:val="center"/>
          </w:tcPr>
          <w:p w14:paraId="387B1D97">
            <w:pPr>
              <w:spacing w:line="360" w:lineRule="auto"/>
              <w:jc w:val="center"/>
            </w:pPr>
            <w:r>
              <w:rPr>
                <w:rFonts w:hint="eastAsia"/>
              </w:rPr>
              <w:t>1</w:t>
            </w:r>
          </w:p>
        </w:tc>
        <w:tc>
          <w:tcPr>
            <w:tcW w:w="3969" w:type="dxa"/>
            <w:tcBorders>
              <w:top w:val="single" w:color="000000" w:sz="4" w:space="0"/>
              <w:left w:val="single" w:color="auto" w:sz="4" w:space="0"/>
              <w:bottom w:val="single" w:color="000000" w:sz="4" w:space="0"/>
              <w:right w:val="single" w:color="000000" w:sz="4" w:space="0"/>
            </w:tcBorders>
            <w:vAlign w:val="center"/>
          </w:tcPr>
          <w:p w14:paraId="50A570C6">
            <w:pPr>
              <w:spacing w:line="360" w:lineRule="auto"/>
              <w:jc w:val="center"/>
            </w:pPr>
            <w:r>
              <w:rPr>
                <w:rFonts w:hint="eastAsia"/>
                <w:bCs/>
                <w:lang w:eastAsia="zh-CN"/>
              </w:rPr>
              <w:t>深圳市福田区风湿病专科医院</w:t>
            </w:r>
            <w:r>
              <w:rPr>
                <w:rFonts w:hint="eastAsia"/>
                <w:bCs/>
              </w:rPr>
              <w:t>零星修缮工程服务项目</w:t>
            </w:r>
          </w:p>
        </w:tc>
        <w:tc>
          <w:tcPr>
            <w:tcW w:w="869" w:type="dxa"/>
            <w:tcBorders>
              <w:top w:val="single" w:color="000000" w:sz="4" w:space="0"/>
              <w:left w:val="single" w:color="000000" w:sz="4" w:space="0"/>
              <w:bottom w:val="single" w:color="000000" w:sz="4" w:space="0"/>
              <w:right w:val="single" w:color="000000" w:sz="4" w:space="0"/>
            </w:tcBorders>
            <w:vAlign w:val="center"/>
          </w:tcPr>
          <w:p w14:paraId="4D51FB4A">
            <w:pPr>
              <w:spacing w:line="360" w:lineRule="auto"/>
              <w:jc w:val="center"/>
              <w:rPr>
                <w:bCs/>
              </w:rPr>
            </w:pPr>
            <w:r>
              <w:rPr>
                <w:rFonts w:hint="eastAsia"/>
                <w:bCs/>
              </w:rPr>
              <w:t>项</w:t>
            </w:r>
          </w:p>
        </w:tc>
        <w:tc>
          <w:tcPr>
            <w:tcW w:w="850" w:type="dxa"/>
            <w:tcBorders>
              <w:top w:val="single" w:color="000000" w:sz="4" w:space="0"/>
              <w:left w:val="single" w:color="000000" w:sz="4" w:space="0"/>
              <w:bottom w:val="single" w:color="000000" w:sz="4" w:space="0"/>
              <w:right w:val="single" w:color="000000" w:sz="4" w:space="0"/>
            </w:tcBorders>
            <w:vAlign w:val="center"/>
          </w:tcPr>
          <w:p w14:paraId="7A513F57">
            <w:pPr>
              <w:spacing w:line="360" w:lineRule="auto"/>
              <w:jc w:val="center"/>
              <w:rPr>
                <w:bCs/>
              </w:rPr>
            </w:pPr>
            <w:r>
              <w:rPr>
                <w:rFonts w:hint="eastAsia"/>
                <w:bCs/>
              </w:rPr>
              <w:t>1</w:t>
            </w:r>
          </w:p>
        </w:tc>
        <w:tc>
          <w:tcPr>
            <w:tcW w:w="1542" w:type="dxa"/>
            <w:tcBorders>
              <w:top w:val="single" w:color="000000" w:sz="4" w:space="0"/>
              <w:left w:val="single" w:color="000000" w:sz="4" w:space="0"/>
              <w:bottom w:val="single" w:color="000000" w:sz="4" w:space="0"/>
              <w:right w:val="single" w:color="000000" w:sz="4" w:space="0"/>
            </w:tcBorders>
            <w:vAlign w:val="center"/>
          </w:tcPr>
          <w:p w14:paraId="38E88EBE">
            <w:pPr>
              <w:spacing w:line="360" w:lineRule="auto"/>
              <w:jc w:val="center"/>
              <w:rPr>
                <w:b/>
                <w:bCs/>
              </w:rPr>
            </w:pPr>
            <w:r>
              <w:rPr>
                <w:rFonts w:hint="eastAsia" w:ascii="宋体" w:hAnsi="宋体" w:eastAsia="宋体"/>
                <w:b/>
                <w:color w:val="FF0000"/>
                <w:szCs w:val="21"/>
              </w:rPr>
              <w:t>建筑业</w:t>
            </w:r>
          </w:p>
        </w:tc>
        <w:tc>
          <w:tcPr>
            <w:tcW w:w="1098" w:type="dxa"/>
            <w:tcBorders>
              <w:top w:val="single" w:color="000000" w:sz="4" w:space="0"/>
              <w:left w:val="single" w:color="000000" w:sz="4" w:space="0"/>
              <w:bottom w:val="single" w:color="000000" w:sz="4" w:space="0"/>
              <w:right w:val="single" w:color="000000" w:sz="4" w:space="0"/>
            </w:tcBorders>
            <w:vAlign w:val="center"/>
          </w:tcPr>
          <w:p w14:paraId="525C2FD5">
            <w:pPr>
              <w:spacing w:line="360" w:lineRule="auto"/>
              <w:jc w:val="center"/>
              <w:rPr>
                <w:bCs/>
                <w:highlight w:val="green"/>
              </w:rPr>
            </w:pPr>
          </w:p>
        </w:tc>
      </w:tr>
    </w:tbl>
    <w:p w14:paraId="2BAA0BF2">
      <w:pPr>
        <w:spacing w:line="360" w:lineRule="auto"/>
      </w:pPr>
    </w:p>
    <w:p w14:paraId="6D83FBF5">
      <w:pPr>
        <w:spacing w:line="360" w:lineRule="auto"/>
        <w:rPr>
          <w:rFonts w:ascii="Arial" w:hAnsi="Arial" w:eastAsia="宋体"/>
          <w:b/>
          <w:sz w:val="32"/>
          <w:szCs w:val="32"/>
        </w:rPr>
      </w:pPr>
    </w:p>
    <w:p w14:paraId="244A7DAF">
      <w:pPr>
        <w:spacing w:line="360" w:lineRule="auto"/>
        <w:rPr>
          <w:rFonts w:ascii="Arial" w:hAnsi="Arial" w:eastAsia="宋体"/>
          <w:b/>
          <w:sz w:val="32"/>
          <w:szCs w:val="32"/>
        </w:rPr>
      </w:pPr>
      <w:bookmarkStart w:id="889" w:name="_GoBack"/>
      <w:bookmarkEnd w:id="889"/>
    </w:p>
    <w:p w14:paraId="01EA7355">
      <w:pPr>
        <w:spacing w:line="360" w:lineRule="auto"/>
      </w:pPr>
      <w:r>
        <w:rPr>
          <w:rFonts w:hint="eastAsia" w:ascii="Arial" w:hAnsi="Arial" w:eastAsia="宋体"/>
          <w:b/>
          <w:sz w:val="32"/>
          <w:szCs w:val="32"/>
        </w:rPr>
        <w:t>项目概况如下：</w:t>
      </w:r>
    </w:p>
    <w:p w14:paraId="6CB9D305">
      <w:pPr>
        <w:spacing w:line="360" w:lineRule="auto"/>
        <w:ind w:firstLine="480" w:firstLineChars="200"/>
        <w:rPr>
          <w:rFonts w:ascii="宋体" w:hAnsi="宋体" w:eastAsia="宋体" w:cs="宋体"/>
          <w:bCs/>
          <w:szCs w:val="21"/>
        </w:rPr>
      </w:pPr>
      <w:r>
        <w:rPr>
          <w:rFonts w:hint="eastAsia" w:ascii="宋体" w:hAnsi="宋体" w:eastAsia="宋体" w:cs="宋体"/>
          <w:bCs/>
          <w:szCs w:val="21"/>
        </w:rPr>
        <w:t>服务范围</w:t>
      </w:r>
    </w:p>
    <w:p w14:paraId="707C6D3D">
      <w:pPr>
        <w:spacing w:line="360" w:lineRule="auto"/>
        <w:ind w:firstLine="480" w:firstLineChars="200"/>
        <w:rPr>
          <w:rFonts w:ascii="宋体" w:hAnsi="宋体" w:eastAsia="宋体" w:cs="宋体"/>
          <w:bCs/>
          <w:szCs w:val="21"/>
        </w:rPr>
      </w:pPr>
      <w:r>
        <w:rPr>
          <w:rFonts w:hint="eastAsia" w:ascii="宋体" w:hAnsi="宋体" w:eastAsia="宋体" w:cs="宋体"/>
          <w:bCs/>
          <w:szCs w:val="21"/>
          <w:lang w:eastAsia="zh-CN"/>
        </w:rPr>
        <w:t>深圳市福田区风湿病专科医院</w:t>
      </w:r>
      <w:r>
        <w:rPr>
          <w:rFonts w:hint="eastAsia" w:ascii="宋体" w:hAnsi="宋体" w:eastAsia="宋体" w:cs="宋体"/>
          <w:bCs/>
          <w:szCs w:val="21"/>
        </w:rPr>
        <w:t>日常零星维修、1-10万元（不含10万元）改造、维修工程。</w:t>
      </w:r>
    </w:p>
    <w:p w14:paraId="3B5DD93A">
      <w:pPr>
        <w:pStyle w:val="71"/>
        <w:rPr>
          <w:kern w:val="2"/>
        </w:rPr>
      </w:pPr>
    </w:p>
    <w:p w14:paraId="58F24D4C">
      <w:pPr>
        <w:keepNext/>
        <w:keepLines/>
        <w:tabs>
          <w:tab w:val="left" w:pos="1680"/>
        </w:tabs>
        <w:spacing w:before="260" w:after="60" w:afterLines="25" w:line="360" w:lineRule="auto"/>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F39BD40">
      <w:pPr>
        <w:spacing w:line="360" w:lineRule="auto"/>
        <w:rPr>
          <w:b/>
          <w:color w:val="FF0000"/>
        </w:rPr>
      </w:pPr>
      <w:r>
        <w:rPr>
          <w:rFonts w:hint="eastAsia"/>
          <w:b/>
          <w:color w:val="FF0000"/>
        </w:rPr>
        <w:t>1.带★号条款为不可偏离条款，投标人必须完全响应满足，否则将导致投标无效。投标人是否满足本部分带★号条款要求，以《</w:t>
      </w:r>
      <w:r>
        <w:rPr>
          <w:rFonts w:hint="eastAsia"/>
          <w:b/>
          <w:bCs/>
          <w:color w:val="FF0000"/>
        </w:rPr>
        <w:t>商务（服务）</w:t>
      </w:r>
      <w:r>
        <w:rPr>
          <w:rFonts w:hint="eastAsia"/>
          <w:b/>
          <w:color w:val="FF0000"/>
        </w:rPr>
        <w:t>条款偏离表》响应</w:t>
      </w:r>
      <w:r>
        <w:rPr>
          <w:rFonts w:hint="eastAsia" w:cs="Arial"/>
          <w:b/>
          <w:color w:val="FF0000"/>
        </w:rPr>
        <w:t>为准</w:t>
      </w:r>
      <w:r>
        <w:rPr>
          <w:rFonts w:hint="eastAsia"/>
          <w:b/>
          <w:color w:val="FF0000"/>
        </w:rPr>
        <w:t>。</w:t>
      </w:r>
    </w:p>
    <w:p w14:paraId="02476C85">
      <w:pPr>
        <w:spacing w:line="360" w:lineRule="auto"/>
        <w:rPr>
          <w:b/>
          <w:color w:val="FF0000"/>
        </w:rPr>
      </w:pPr>
      <w:r>
        <w:rPr>
          <w:rFonts w:hint="eastAsia"/>
          <w:b/>
          <w:color w:val="FF0000"/>
        </w:rPr>
        <w:t>2.如投标人中标后被发现不能满足本部分带★号条款要求的，采购单位有权拒绝签订合同，一切后果由投标人承担。</w:t>
      </w:r>
    </w:p>
    <w:p w14:paraId="55306B14">
      <w:pPr>
        <w:pStyle w:val="34"/>
        <w:spacing w:line="360" w:lineRule="auto"/>
        <w:rPr>
          <w:sz w:val="28"/>
        </w:rPr>
      </w:pPr>
      <w:r>
        <w:rPr>
          <w:rFonts w:hint="eastAsia"/>
          <w:sz w:val="28"/>
        </w:rPr>
        <w:t>一、商务内容</w:t>
      </w:r>
    </w:p>
    <w:p w14:paraId="4778864A">
      <w:pPr>
        <w:spacing w:line="360" w:lineRule="auto"/>
        <w:ind w:firstLine="482" w:firstLineChars="200"/>
        <w:rPr>
          <w:rFonts w:ascii="宋体" w:hAnsi="宋体" w:eastAsia="宋体" w:cs="宋体"/>
          <w:b/>
          <w:bCs/>
        </w:rPr>
      </w:pPr>
      <w:r>
        <w:rPr>
          <w:rFonts w:hint="eastAsia" w:ascii="宋体" w:hAnsi="宋体" w:eastAsia="宋体" w:cs="宋体"/>
          <w:b/>
          <w:bCs/>
        </w:rPr>
        <w:t>★1、报价要求：</w:t>
      </w:r>
    </w:p>
    <w:p w14:paraId="4C4036A0">
      <w:pPr>
        <w:numPr>
          <w:ilvl w:val="0"/>
          <w:numId w:val="1"/>
        </w:numPr>
        <w:spacing w:line="360" w:lineRule="auto"/>
        <w:ind w:firstLine="482" w:firstLineChars="200"/>
        <w:rPr>
          <w:rFonts w:ascii="宋体" w:hAnsi="宋体" w:eastAsia="宋体" w:cs="宋体"/>
          <w:b/>
        </w:rPr>
      </w:pPr>
      <w:r>
        <w:rPr>
          <w:rFonts w:hint="eastAsia" w:ascii="宋体" w:hAnsi="宋体" w:eastAsia="宋体" w:cs="宋体"/>
          <w:b/>
        </w:rPr>
        <w:t>本项目报折扣系数，投标报价时应对采购人提供的《附件：零星维修材料》单价进行整体折扣系数报价，投标折扣系数填报小数，保留至小数点后两位，且折扣系数必须小于或等于0.87，也没有为负数或零，且是固定唯一值的，折扣系数大于0.87时作投标无效处理。投标人报价必须充分考虑企业的成本、本项目服务要求和特点，以及各种管理因素和环境条件，一旦中标不再调整折扣系数，且不再为此增加任何费用。</w:t>
      </w:r>
    </w:p>
    <w:p w14:paraId="00982203">
      <w:pPr>
        <w:numPr>
          <w:ilvl w:val="0"/>
          <w:numId w:val="1"/>
        </w:numPr>
        <w:spacing w:line="360" w:lineRule="auto"/>
        <w:ind w:firstLine="480" w:firstLineChars="200"/>
        <w:rPr>
          <w:rFonts w:ascii="宋体" w:hAnsi="宋体" w:eastAsia="宋体" w:cs="宋体"/>
          <w:bCs/>
        </w:rPr>
      </w:pPr>
      <w:r>
        <w:rPr>
          <w:rFonts w:hint="eastAsia" w:ascii="宋体" w:hAnsi="宋体" w:eastAsia="宋体" w:cs="宋体"/>
          <w:bCs/>
        </w:rPr>
        <w:t>投标人应充分了解项目的位置、情况、道路及任何其它足以影响投标报价的情况，任何因忽视或误解项目情况而导致的索赔或服务期限延长申请将不获批准。</w:t>
      </w:r>
    </w:p>
    <w:p w14:paraId="12E54935">
      <w:pPr>
        <w:numPr>
          <w:ilvl w:val="0"/>
          <w:numId w:val="1"/>
        </w:numPr>
        <w:spacing w:line="360" w:lineRule="auto"/>
        <w:ind w:firstLine="480" w:firstLineChars="200"/>
        <w:rPr>
          <w:rFonts w:ascii="宋体" w:hAnsi="宋体" w:eastAsia="宋体" w:cs="宋体"/>
          <w:bCs/>
        </w:rPr>
      </w:pPr>
      <w:r>
        <w:rPr>
          <w:rFonts w:hint="eastAsia" w:ascii="宋体" w:hAnsi="宋体" w:eastAsia="宋体" w:cs="宋体"/>
          <w:bCs/>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8FF074C">
      <w:pPr>
        <w:numPr>
          <w:ilvl w:val="0"/>
          <w:numId w:val="1"/>
        </w:numPr>
        <w:spacing w:line="360" w:lineRule="auto"/>
        <w:ind w:firstLine="480" w:firstLineChars="200"/>
        <w:rPr>
          <w:rFonts w:ascii="宋体" w:hAnsi="宋体" w:eastAsia="宋体" w:cs="宋体"/>
          <w:bCs/>
        </w:rPr>
      </w:pPr>
      <w:r>
        <w:rPr>
          <w:rFonts w:hint="eastAsia" w:ascii="宋体" w:hAnsi="宋体" w:eastAsia="宋体" w:cs="宋体"/>
          <w:bCs/>
        </w:rPr>
        <w:t>投标人须考虑本项目在实施期间的一切可能产生的费用。在项目实施过程中，如项目工作范围发生变更，由中标人和采购人双方协商解决；其余情况下，投标总价均不予调整。</w:t>
      </w:r>
    </w:p>
    <w:p w14:paraId="26E5D39F">
      <w:pPr>
        <w:spacing w:line="360" w:lineRule="auto"/>
        <w:ind w:firstLine="482" w:firstLineChars="200"/>
        <w:rPr>
          <w:rFonts w:ascii="宋体" w:hAnsi="宋体" w:eastAsia="宋体" w:cs="宋体"/>
          <w:b/>
          <w:bCs/>
        </w:rPr>
      </w:pPr>
      <w:r>
        <w:rPr>
          <w:rFonts w:hint="eastAsia" w:ascii="宋体" w:hAnsi="宋体" w:eastAsia="宋体" w:cs="宋体"/>
          <w:b/>
          <w:bCs/>
        </w:rPr>
        <w:t>2、售后服务要求</w:t>
      </w:r>
    </w:p>
    <w:p w14:paraId="1B3FFCDD">
      <w:pPr>
        <w:spacing w:line="360" w:lineRule="auto"/>
        <w:ind w:firstLine="480" w:firstLineChars="200"/>
        <w:rPr>
          <w:rFonts w:ascii="宋体" w:hAnsi="宋体" w:eastAsia="宋体" w:cs="宋体"/>
        </w:rPr>
      </w:pPr>
      <w:r>
        <w:rPr>
          <w:rFonts w:hint="eastAsia" w:ascii="宋体" w:hAnsi="宋体" w:eastAsia="宋体" w:cs="宋体"/>
        </w:rPr>
        <w:t>所有维修项目质量保修期一年。</w:t>
      </w:r>
    </w:p>
    <w:p w14:paraId="5F449683">
      <w:pPr>
        <w:spacing w:line="360" w:lineRule="auto"/>
        <w:ind w:firstLine="482" w:firstLineChars="200"/>
        <w:rPr>
          <w:rFonts w:ascii="宋体" w:hAnsi="宋体" w:eastAsia="宋体" w:cs="宋体"/>
          <w:b/>
        </w:rPr>
      </w:pPr>
      <w:r>
        <w:rPr>
          <w:rFonts w:hint="eastAsia" w:ascii="宋体" w:hAnsi="宋体" w:eastAsia="宋体" w:cs="宋体"/>
          <w:b/>
        </w:rPr>
        <w:t>3、</w:t>
      </w:r>
      <w:r>
        <w:rPr>
          <w:rFonts w:hint="eastAsia" w:ascii="宋体" w:hAnsi="宋体" w:eastAsia="宋体" w:cs="宋体"/>
          <w:b/>
          <w:bCs/>
        </w:rPr>
        <w:t>违约金及违约责任</w:t>
      </w:r>
    </w:p>
    <w:p w14:paraId="481CBA5B">
      <w:pPr>
        <w:spacing w:line="360" w:lineRule="auto"/>
        <w:ind w:firstLine="480" w:firstLineChars="200"/>
        <w:rPr>
          <w:rFonts w:ascii="宋体" w:hAnsi="宋体" w:eastAsia="宋体" w:cs="宋体"/>
        </w:rPr>
      </w:pPr>
      <w:r>
        <w:rPr>
          <w:rFonts w:hint="eastAsia" w:ascii="宋体" w:hAnsi="宋体" w:eastAsia="宋体" w:cs="宋体"/>
        </w:rPr>
        <w:t>1.中标人提供的服务不符合采购人规定的，采购人有权拒收，并且中标人须向采购人支付工程预算金额5%的违约金。</w:t>
      </w:r>
    </w:p>
    <w:p w14:paraId="7F8A6D7B">
      <w:pPr>
        <w:spacing w:line="360" w:lineRule="auto"/>
        <w:ind w:firstLine="480" w:firstLineChars="200"/>
        <w:rPr>
          <w:rFonts w:ascii="宋体" w:hAnsi="宋体" w:eastAsia="宋体" w:cs="宋体"/>
        </w:rPr>
      </w:pPr>
      <w:r>
        <w:rPr>
          <w:rFonts w:hint="eastAsia" w:ascii="宋体" w:hAnsi="宋体" w:eastAsia="宋体" w:cs="宋体"/>
        </w:rPr>
        <w:t>2.中标人3天内仍未按采购人的需求进行零星修缮服务的，无正当理由的，一次罚款300元，在月度支付时扣除。</w:t>
      </w:r>
    </w:p>
    <w:p w14:paraId="75026E49">
      <w:pPr>
        <w:spacing w:line="360" w:lineRule="auto"/>
        <w:ind w:firstLine="482" w:firstLineChars="200"/>
        <w:rPr>
          <w:rFonts w:ascii="宋体" w:hAnsi="宋体" w:eastAsia="宋体" w:cs="宋体"/>
          <w:b/>
        </w:rPr>
      </w:pPr>
      <w:r>
        <w:rPr>
          <w:rFonts w:hint="eastAsia" w:ascii="宋体" w:hAnsi="宋体" w:eastAsia="宋体" w:cs="宋体"/>
          <w:b/>
        </w:rPr>
        <w:t>4、服务期限</w:t>
      </w:r>
    </w:p>
    <w:p w14:paraId="4F11E996">
      <w:pPr>
        <w:spacing w:line="360" w:lineRule="auto"/>
        <w:ind w:firstLine="480" w:firstLineChars="200"/>
        <w:rPr>
          <w:rFonts w:ascii="宋体" w:hAnsi="宋体" w:eastAsia="宋体" w:cs="宋体"/>
        </w:rPr>
      </w:pPr>
      <w:r>
        <w:rPr>
          <w:rFonts w:hint="eastAsia" w:ascii="宋体" w:hAnsi="宋体" w:eastAsia="宋体" w:cs="宋体"/>
        </w:rPr>
        <w:t>自合同签订之日起1年。本项目为长期服务，合同期限可以延长，最长不超过36个月，且合同一年一签。具体执行的期限可由采购人根据中标人履约情况确定。</w:t>
      </w:r>
    </w:p>
    <w:p w14:paraId="5DEA8007">
      <w:pPr>
        <w:spacing w:line="360" w:lineRule="auto"/>
        <w:ind w:firstLine="482" w:firstLineChars="200"/>
        <w:rPr>
          <w:rFonts w:ascii="宋体" w:hAnsi="宋体" w:eastAsia="宋体" w:cs="宋体"/>
          <w:b/>
        </w:rPr>
      </w:pPr>
      <w:r>
        <w:rPr>
          <w:rFonts w:hint="eastAsia" w:ascii="宋体" w:hAnsi="宋体" w:eastAsia="宋体" w:cs="宋体"/>
          <w:b/>
        </w:rPr>
        <w:t>5、付款方式</w:t>
      </w:r>
    </w:p>
    <w:p w14:paraId="6F0C3824">
      <w:pPr>
        <w:spacing w:line="360" w:lineRule="auto"/>
        <w:ind w:firstLine="480" w:firstLineChars="200"/>
        <w:rPr>
          <w:rFonts w:ascii="宋体" w:hAnsi="宋体" w:eastAsia="宋体" w:cs="宋体"/>
        </w:rPr>
      </w:pPr>
      <w:r>
        <w:rPr>
          <w:rFonts w:hint="eastAsia" w:ascii="宋体" w:hAnsi="宋体" w:eastAsia="宋体" w:cs="宋体"/>
        </w:rPr>
        <w:t>本项目不支付预付款，每月汇总维修项目通过竣工验收并完成工程结算审核后，一次性支付至结算审核价款。</w:t>
      </w:r>
    </w:p>
    <w:p w14:paraId="4EDFAC68">
      <w:pPr>
        <w:spacing w:line="360" w:lineRule="auto"/>
        <w:ind w:firstLine="480" w:firstLineChars="200"/>
        <w:rPr>
          <w:rFonts w:ascii="宋体" w:hAnsi="宋体" w:eastAsia="宋体" w:cs="宋体"/>
        </w:rPr>
      </w:pPr>
      <w:r>
        <w:rPr>
          <w:rFonts w:hint="eastAsia" w:ascii="宋体" w:hAnsi="宋体" w:eastAsia="宋体" w:cs="宋体"/>
        </w:rPr>
        <w:t>6、其他说明</w:t>
      </w:r>
    </w:p>
    <w:p w14:paraId="1E50BA08">
      <w:pPr>
        <w:pStyle w:val="43"/>
        <w:spacing w:line="360" w:lineRule="auto"/>
        <w:ind w:firstLine="240"/>
        <w:rPr>
          <w:rFonts w:ascii="宋体" w:hAnsi="宋体" w:eastAsia="宋体" w:cs="宋体"/>
          <w:b w:val="0"/>
          <w:bCs w:val="0"/>
          <w:sz w:val="24"/>
          <w:szCs w:val="24"/>
        </w:rPr>
      </w:pPr>
      <w:r>
        <w:rPr>
          <w:rFonts w:hint="eastAsia" w:ascii="宋体" w:hAnsi="宋体" w:eastAsia="宋体" w:cs="宋体"/>
          <w:b w:val="0"/>
          <w:bCs w:val="0"/>
          <w:sz w:val="24"/>
          <w:szCs w:val="24"/>
        </w:rPr>
        <w:t>政府采购工程选取的建材产品应符合《绿色建筑和绿色建材政府采购需求标准》。</w:t>
      </w:r>
    </w:p>
    <w:p w14:paraId="60D0F2BD">
      <w:pPr>
        <w:rPr>
          <w:rFonts w:ascii="宋体" w:hAnsi="宋体" w:eastAsia="宋体" w:cs="宋体"/>
        </w:rPr>
      </w:pPr>
    </w:p>
    <w:p w14:paraId="4D3BE20C">
      <w:pPr>
        <w:rPr>
          <w:rFonts w:ascii="宋体" w:hAnsi="宋体" w:eastAsia="宋体" w:cs="宋体"/>
        </w:rPr>
      </w:pPr>
    </w:p>
    <w:p w14:paraId="4200C671">
      <w:pPr>
        <w:widowControl w:val="0"/>
        <w:spacing w:line="520" w:lineRule="exact"/>
        <w:ind w:firstLine="565" w:firstLineChars="202"/>
        <w:rPr>
          <w:rFonts w:ascii="仿宋_GB2312" w:hAnsi="华文仿宋" w:eastAsia="仿宋_GB2312"/>
          <w:kern w:val="2"/>
          <w:sz w:val="28"/>
          <w:szCs w:val="28"/>
        </w:rPr>
      </w:pPr>
    </w:p>
    <w:p w14:paraId="56057D45">
      <w:pPr>
        <w:pStyle w:val="43"/>
        <w:ind w:firstLine="211"/>
      </w:pPr>
    </w:p>
    <w:p w14:paraId="4962D7DF">
      <w:pPr>
        <w:pStyle w:val="43"/>
        <w:ind w:firstLine="211"/>
      </w:pPr>
    </w:p>
    <w:p w14:paraId="15E36DF4">
      <w:pPr>
        <w:pStyle w:val="43"/>
        <w:ind w:firstLine="211"/>
      </w:pPr>
    </w:p>
    <w:p w14:paraId="5A12C1D2">
      <w:pPr>
        <w:pStyle w:val="43"/>
        <w:ind w:firstLine="211"/>
      </w:pPr>
    </w:p>
    <w:p w14:paraId="1B9CCC44">
      <w:pPr>
        <w:rPr>
          <w:rFonts w:ascii="Cambria" w:hAnsi="Cambria" w:eastAsia="宋体"/>
          <w:b/>
          <w:bCs/>
          <w:kern w:val="28"/>
          <w:sz w:val="28"/>
          <w:szCs w:val="32"/>
        </w:rPr>
      </w:pPr>
      <w:r>
        <w:rPr>
          <w:sz w:val="28"/>
        </w:rPr>
        <w:br w:type="page"/>
      </w:r>
    </w:p>
    <w:p w14:paraId="4888123D">
      <w:pPr>
        <w:pStyle w:val="34"/>
        <w:spacing w:line="360" w:lineRule="auto"/>
        <w:rPr>
          <w:sz w:val="28"/>
        </w:rPr>
      </w:pPr>
      <w:r>
        <w:rPr>
          <w:rFonts w:hint="eastAsia"/>
          <w:sz w:val="28"/>
        </w:rPr>
        <w:t>二、服务内容及要求</w:t>
      </w:r>
    </w:p>
    <w:p w14:paraId="45B1600B">
      <w:pPr>
        <w:spacing w:line="360" w:lineRule="auto"/>
        <w:rPr>
          <w:rFonts w:ascii="宋体" w:hAnsi="宋体" w:eastAsia="宋体" w:cs="宋体"/>
          <w:b/>
          <w:bCs/>
        </w:rPr>
      </w:pPr>
      <w:r>
        <w:rPr>
          <w:rFonts w:hint="eastAsia" w:ascii="宋体" w:hAnsi="宋体" w:eastAsia="宋体" w:cs="宋体"/>
          <w:b/>
          <w:bCs/>
        </w:rPr>
        <w:t>1、服务内容</w:t>
      </w:r>
    </w:p>
    <w:p w14:paraId="27205EC3">
      <w:pPr>
        <w:spacing w:line="360" w:lineRule="auto"/>
        <w:rPr>
          <w:rFonts w:ascii="宋体" w:hAnsi="宋体" w:eastAsia="宋体" w:cs="宋体"/>
          <w:bCs/>
        </w:rPr>
      </w:pPr>
      <w:r>
        <w:rPr>
          <w:rFonts w:hint="eastAsia" w:ascii="宋体" w:hAnsi="宋体" w:eastAsia="宋体" w:cs="宋体"/>
          <w:bCs/>
        </w:rPr>
        <w:t xml:space="preserve">   单项工程预算在10万元（不含10万元）以下的各类零星维修（包括但不限于维修、安装、改造等）提供工程服务，主要范围：广告工程、拆除工程、砖砌体工程、抹灰工程、抹灰面乳胶漆工程、吊顶工程块料墙、地砖工程、门窗工程、普通防水工程、水电安装工程等。特殊专业施工项目（如防辐射、结构性防水或较复杂的防水工程、专业设备维修、洁净化工程等）和</w:t>
      </w:r>
      <w:r>
        <w:rPr>
          <w:rFonts w:hint="eastAsia" w:ascii="宋体" w:hAnsi="宋体" w:eastAsia="宋体" w:cs="宋体"/>
          <w:bCs/>
          <w:lang w:val="en-US" w:eastAsia="zh-CN"/>
        </w:rPr>
        <w:t>后勤保障部</w:t>
      </w:r>
      <w:r>
        <w:rPr>
          <w:rFonts w:hint="eastAsia" w:ascii="宋体" w:hAnsi="宋体" w:eastAsia="宋体" w:cs="宋体"/>
          <w:bCs/>
        </w:rPr>
        <w:t>审定认为不适宜在本服务范围内实施的项目，由采购人根据实际情况另行采购。具体实施细节如下：</w:t>
      </w:r>
    </w:p>
    <w:p w14:paraId="35240C80">
      <w:pPr>
        <w:spacing w:line="360" w:lineRule="auto"/>
        <w:ind w:firstLine="480" w:firstLineChars="200"/>
        <w:rPr>
          <w:rFonts w:ascii="宋体" w:hAnsi="宋体" w:eastAsia="宋体" w:cs="宋体"/>
          <w:bCs/>
        </w:rPr>
      </w:pPr>
      <w:r>
        <w:rPr>
          <w:rFonts w:hint="eastAsia" w:ascii="宋体" w:hAnsi="宋体" w:eastAsia="宋体" w:cs="宋体"/>
          <w:bCs/>
        </w:rPr>
        <w:t>单项或多项累计不超1万元的维修为日常零星修缮项目，采用签单月末结算模式：施工前需求科室对照</w:t>
      </w:r>
      <w:r>
        <w:rPr>
          <w:rFonts w:hint="eastAsia" w:ascii="宋体" w:hAnsi="宋体" w:eastAsia="宋体" w:cs="宋体"/>
          <w:bCs/>
          <w:lang w:eastAsia="zh-CN"/>
        </w:rPr>
        <w:t>深圳市福田区风湿病专科医院</w:t>
      </w:r>
      <w:r>
        <w:rPr>
          <w:rFonts w:hint="eastAsia" w:ascii="宋体" w:hAnsi="宋体" w:eastAsia="宋体" w:cs="宋体"/>
          <w:bCs/>
        </w:rPr>
        <w:t>日常零星维修材料清单进行工程量、材料价格确定；超出招标材料清单外的维修按其他维修处理，单价根据信息价或根据实际情况及市场价双方确定。需求科室竣工验收后中标单位每月月末汇总至</w:t>
      </w:r>
      <w:r>
        <w:rPr>
          <w:rFonts w:hint="eastAsia" w:ascii="宋体" w:hAnsi="宋体" w:eastAsia="宋体" w:cs="宋体"/>
          <w:bCs/>
          <w:lang w:val="en-US" w:eastAsia="zh-CN"/>
        </w:rPr>
        <w:t>后勤保障部</w:t>
      </w:r>
      <w:r>
        <w:rPr>
          <w:rFonts w:hint="eastAsia" w:ascii="宋体" w:hAnsi="宋体" w:eastAsia="宋体" w:cs="宋体"/>
          <w:bCs/>
        </w:rPr>
        <w:t>，</w:t>
      </w:r>
      <w:r>
        <w:rPr>
          <w:rFonts w:hint="eastAsia" w:ascii="宋体" w:hAnsi="宋体" w:eastAsia="宋体" w:cs="宋体"/>
          <w:bCs/>
          <w:lang w:val="en-US" w:eastAsia="zh-CN"/>
        </w:rPr>
        <w:t>后勤保障部</w:t>
      </w:r>
      <w:r>
        <w:rPr>
          <w:rFonts w:hint="eastAsia" w:ascii="宋体" w:hAnsi="宋体" w:eastAsia="宋体" w:cs="宋体"/>
          <w:bCs/>
        </w:rPr>
        <w:t>审核后进行结算，每月结算一次。</w:t>
      </w:r>
    </w:p>
    <w:p w14:paraId="712BB091">
      <w:pPr>
        <w:spacing w:line="360" w:lineRule="auto"/>
        <w:ind w:firstLine="480" w:firstLineChars="200"/>
        <w:rPr>
          <w:rFonts w:ascii="宋体" w:hAnsi="宋体" w:eastAsia="宋体" w:cs="宋体"/>
          <w:bCs/>
        </w:rPr>
      </w:pPr>
      <w:r>
        <w:rPr>
          <w:rFonts w:hint="eastAsia" w:ascii="宋体" w:hAnsi="宋体" w:eastAsia="宋体" w:cs="宋体"/>
          <w:bCs/>
        </w:rPr>
        <w:t>单项金额</w:t>
      </w:r>
      <w:r>
        <w:rPr>
          <w:rFonts w:hint="eastAsia" w:ascii="宋体" w:hAnsi="宋体" w:eastAsia="宋体" w:cs="宋体"/>
          <w:bCs/>
          <w:lang w:val="en-US" w:eastAsia="zh-CN"/>
        </w:rPr>
        <w:t>1</w:t>
      </w:r>
      <w:r>
        <w:rPr>
          <w:rFonts w:hint="eastAsia" w:ascii="宋体" w:hAnsi="宋体" w:eastAsia="宋体" w:cs="宋体"/>
          <w:bCs/>
        </w:rPr>
        <w:t>万以上</w:t>
      </w:r>
      <w:r>
        <w:rPr>
          <w:rFonts w:hint="eastAsia" w:ascii="宋体" w:hAnsi="宋体" w:eastAsia="宋体" w:cs="宋体"/>
          <w:bCs/>
          <w:lang w:val="en-US" w:eastAsia="zh-CN"/>
        </w:rPr>
        <w:t>3</w:t>
      </w:r>
      <w:r>
        <w:rPr>
          <w:rFonts w:hint="eastAsia" w:ascii="宋体" w:hAnsi="宋体" w:eastAsia="宋体" w:cs="宋体"/>
          <w:bCs/>
        </w:rPr>
        <w:t>万以下，由中标单位提供预算书后施工，项目竣工验收后送我院</w:t>
      </w:r>
      <w:r>
        <w:rPr>
          <w:rFonts w:hint="eastAsia" w:ascii="宋体" w:hAnsi="宋体" w:eastAsia="宋体" w:cs="宋体"/>
          <w:bCs/>
          <w:lang w:val="en-US" w:eastAsia="zh-CN"/>
        </w:rPr>
        <w:t>相关科室</w:t>
      </w:r>
      <w:r>
        <w:rPr>
          <w:rFonts w:hint="eastAsia" w:ascii="宋体" w:hAnsi="宋体" w:eastAsia="宋体" w:cs="宋体"/>
          <w:bCs/>
        </w:rPr>
        <w:t>审</w:t>
      </w:r>
      <w:r>
        <w:rPr>
          <w:rFonts w:hint="eastAsia" w:ascii="宋体" w:hAnsi="宋体" w:eastAsia="宋体" w:cs="宋体"/>
          <w:bCs/>
          <w:lang w:val="en-US" w:eastAsia="zh-CN"/>
        </w:rPr>
        <w:t>查</w:t>
      </w:r>
      <w:r>
        <w:rPr>
          <w:rFonts w:hint="eastAsia" w:ascii="宋体" w:hAnsi="宋体" w:eastAsia="宋体" w:cs="宋体"/>
          <w:bCs/>
        </w:rPr>
        <w:t>进行结算审核。</w:t>
      </w:r>
    </w:p>
    <w:p w14:paraId="5BF892FD">
      <w:pPr>
        <w:spacing w:line="360" w:lineRule="auto"/>
        <w:ind w:firstLine="480" w:firstLineChars="200"/>
        <w:rPr>
          <w:rFonts w:ascii="宋体" w:hAnsi="宋体" w:eastAsia="宋体" w:cs="宋体"/>
          <w:bCs/>
        </w:rPr>
      </w:pPr>
      <w:r>
        <w:rPr>
          <w:rFonts w:hint="eastAsia" w:ascii="宋体" w:hAnsi="宋体" w:eastAsia="宋体" w:cs="宋体"/>
          <w:bCs/>
        </w:rPr>
        <w:t>单项金额</w:t>
      </w:r>
      <w:r>
        <w:rPr>
          <w:rFonts w:hint="eastAsia" w:ascii="宋体" w:hAnsi="宋体" w:eastAsia="宋体" w:cs="宋体"/>
          <w:bCs/>
          <w:lang w:val="en-US" w:eastAsia="zh-CN"/>
        </w:rPr>
        <w:t>3</w:t>
      </w:r>
      <w:r>
        <w:rPr>
          <w:rFonts w:hint="eastAsia" w:ascii="宋体" w:hAnsi="宋体" w:eastAsia="宋体" w:cs="宋体"/>
          <w:bCs/>
        </w:rPr>
        <w:t>万元及以上，10万元（不含）以下的工程项目，造价咨询单位根据施工图纸进行预算编制，中标单位根据预算编制书提供预算书，经</w:t>
      </w:r>
      <w:r>
        <w:rPr>
          <w:rFonts w:hint="eastAsia" w:ascii="宋体" w:hAnsi="宋体" w:eastAsia="宋体" w:cs="宋体"/>
          <w:bCs/>
          <w:lang w:val="en-US" w:eastAsia="zh-CN"/>
        </w:rPr>
        <w:t>医院</w:t>
      </w:r>
      <w:r>
        <w:rPr>
          <w:rFonts w:hint="eastAsia" w:ascii="宋体" w:hAnsi="宋体" w:eastAsia="宋体" w:cs="宋体"/>
          <w:bCs/>
        </w:rPr>
        <w:t>领导班子会议决策同意后施工，项目竣工验收后送第三方造价咨询单位进行结算审核。</w:t>
      </w:r>
    </w:p>
    <w:p w14:paraId="164D3CE2">
      <w:pPr>
        <w:spacing w:line="360" w:lineRule="auto"/>
        <w:ind w:firstLine="480" w:firstLineChars="200"/>
        <w:rPr>
          <w:rFonts w:ascii="宋体" w:hAnsi="宋体" w:eastAsia="宋体" w:cs="宋体"/>
          <w:bCs/>
        </w:rPr>
      </w:pPr>
      <w:r>
        <w:rPr>
          <w:rFonts w:hint="eastAsia" w:ascii="宋体" w:hAnsi="宋体" w:eastAsia="宋体" w:cs="宋体"/>
          <w:bCs/>
        </w:rPr>
        <w:t>10万元以上工程项目按有关规定移交我院</w:t>
      </w:r>
      <w:r>
        <w:rPr>
          <w:rFonts w:hint="eastAsia" w:ascii="宋体" w:hAnsi="宋体" w:eastAsia="宋体" w:cs="宋体"/>
          <w:bCs/>
          <w:lang w:val="en-US" w:eastAsia="zh-CN"/>
        </w:rPr>
        <w:t>后勤保障部</w:t>
      </w:r>
      <w:r>
        <w:rPr>
          <w:rFonts w:hint="eastAsia" w:ascii="宋体" w:hAnsi="宋体" w:eastAsia="宋体" w:cs="宋体"/>
          <w:bCs/>
        </w:rPr>
        <w:t>采购进行招标，不在本服务范围。</w:t>
      </w:r>
    </w:p>
    <w:p w14:paraId="27905DA7">
      <w:pPr>
        <w:spacing w:line="360" w:lineRule="auto"/>
        <w:ind w:firstLine="480" w:firstLineChars="200"/>
        <w:rPr>
          <w:rFonts w:ascii="宋体" w:hAnsi="宋体" w:eastAsia="宋体" w:cs="宋体"/>
          <w:bCs/>
        </w:rPr>
      </w:pPr>
      <w:r>
        <w:rPr>
          <w:rFonts w:hint="eastAsia" w:ascii="宋体" w:hAnsi="宋体" w:eastAsia="宋体" w:cs="宋体"/>
          <w:bCs/>
        </w:rPr>
        <w:t>其他经费来源需要工程建设项目的，10万元以下项目可使用本中标单位进行服务，具体费用由需求科室下达资金列支，不占用中标后的年度预算。</w:t>
      </w:r>
    </w:p>
    <w:p w14:paraId="35D9B0C5">
      <w:pPr>
        <w:spacing w:line="360" w:lineRule="auto"/>
        <w:rPr>
          <w:rFonts w:ascii="宋体" w:hAnsi="宋体" w:eastAsia="宋体" w:cs="宋体"/>
          <w:b/>
          <w:bCs/>
        </w:rPr>
      </w:pPr>
      <w:r>
        <w:rPr>
          <w:rFonts w:hint="eastAsia" w:ascii="宋体" w:hAnsi="宋体" w:eastAsia="宋体" w:cs="宋体"/>
          <w:bCs/>
        </w:rPr>
        <w:t>本项目报折扣系数，投标报价时应对采购人提供的《附件：零星维修材料》单价进行整体折扣系数报价，投标折扣系数填报小数，保留至小数点后两位，且折扣系数必须小于或等于0.87，也没有为负数或零，且是固定唯一值的，折扣系数大于0.87时作投标无效处理。投标人报价必须充分考虑企业的成本、本项目服务要求和特点，以及各种管理因素和环境条件，一旦中标不再调整折扣系数，且不再为此增加任何费用。</w:t>
      </w:r>
    </w:p>
    <w:p w14:paraId="6732A221">
      <w:pPr>
        <w:spacing w:line="360" w:lineRule="auto"/>
        <w:rPr>
          <w:rFonts w:ascii="宋体" w:hAnsi="宋体" w:eastAsia="宋体" w:cs="宋体"/>
          <w:b/>
          <w:bCs/>
        </w:rPr>
      </w:pPr>
      <w:r>
        <w:rPr>
          <w:rFonts w:hint="eastAsia" w:ascii="宋体" w:hAnsi="宋体" w:eastAsia="宋体" w:cs="宋体"/>
          <w:b/>
          <w:bCs/>
        </w:rPr>
        <w:t>2、人员要求</w:t>
      </w:r>
    </w:p>
    <w:p w14:paraId="75B3746C">
      <w:pPr>
        <w:spacing w:line="360" w:lineRule="auto"/>
        <w:ind w:firstLine="720" w:firstLineChars="300"/>
        <w:rPr>
          <w:rFonts w:ascii="宋体" w:hAnsi="宋体" w:eastAsia="宋体" w:cs="宋体"/>
          <w:szCs w:val="21"/>
        </w:rPr>
      </w:pPr>
      <w:r>
        <w:rPr>
          <w:rFonts w:hint="eastAsia" w:ascii="宋体" w:hAnsi="宋体" w:eastAsia="宋体" w:cs="宋体"/>
          <w:bCs/>
        </w:rPr>
        <w:t>日常零星维修至少委派1名项目负责人及最少4名有相关资格证书、操作证的工作人员进行零星维修。</w:t>
      </w:r>
    </w:p>
    <w:p w14:paraId="0159D8AA">
      <w:pPr>
        <w:spacing w:line="360" w:lineRule="auto"/>
        <w:rPr>
          <w:rFonts w:ascii="宋体" w:hAnsi="宋体" w:eastAsia="宋体" w:cs="宋体"/>
          <w:b/>
          <w:szCs w:val="21"/>
        </w:rPr>
      </w:pPr>
      <w:r>
        <w:rPr>
          <w:rFonts w:hint="eastAsia" w:ascii="宋体" w:hAnsi="宋体" w:eastAsia="宋体" w:cs="宋体"/>
          <w:b/>
          <w:szCs w:val="21"/>
        </w:rPr>
        <w:t>3、项目管理要求</w:t>
      </w:r>
    </w:p>
    <w:p w14:paraId="70BE82AC">
      <w:pPr>
        <w:spacing w:line="360" w:lineRule="auto"/>
        <w:ind w:firstLine="480" w:firstLineChars="200"/>
        <w:rPr>
          <w:rFonts w:ascii="宋体" w:hAnsi="宋体" w:eastAsia="宋体" w:cs="宋体"/>
          <w:bCs/>
        </w:rPr>
      </w:pPr>
      <w:r>
        <w:rPr>
          <w:rFonts w:ascii="宋体" w:hAnsi="宋体" w:eastAsia="宋体" w:cs="宋体"/>
          <w:bCs/>
        </w:rPr>
        <w:t>1</w:t>
      </w:r>
      <w:r>
        <w:rPr>
          <w:rFonts w:hint="eastAsia" w:ascii="宋体" w:hAnsi="宋体" w:eastAsia="宋体" w:cs="宋体"/>
          <w:bCs/>
        </w:rPr>
        <w:t>.</w:t>
      </w:r>
      <w:r>
        <w:rPr>
          <w:rFonts w:ascii="宋体" w:hAnsi="宋体" w:eastAsia="宋体" w:cs="宋体"/>
          <w:bCs/>
        </w:rPr>
        <w:t>中标人需做好施工记录、隐蔽工程记录、施工资料的整理、竣工资料的编制等工作。</w:t>
      </w:r>
    </w:p>
    <w:p w14:paraId="593AD41A">
      <w:pPr>
        <w:spacing w:line="360" w:lineRule="auto"/>
        <w:ind w:firstLine="480" w:firstLineChars="200"/>
        <w:rPr>
          <w:rFonts w:ascii="宋体" w:hAnsi="宋体" w:eastAsia="宋体" w:cs="宋体"/>
          <w:bCs/>
        </w:rPr>
      </w:pPr>
      <w:r>
        <w:rPr>
          <w:rFonts w:ascii="宋体" w:hAnsi="宋体" w:eastAsia="宋体" w:cs="宋体"/>
          <w:bCs/>
        </w:rPr>
        <w:t>2</w:t>
      </w:r>
      <w:r>
        <w:rPr>
          <w:rFonts w:hint="eastAsia" w:ascii="宋体" w:hAnsi="宋体" w:eastAsia="宋体" w:cs="宋体"/>
          <w:bCs/>
        </w:rPr>
        <w:t>.</w:t>
      </w:r>
      <w:r>
        <w:rPr>
          <w:rFonts w:ascii="宋体" w:hAnsi="宋体" w:eastAsia="宋体" w:cs="宋体"/>
          <w:bCs/>
        </w:rPr>
        <w:t>中标人需在施工现场显眼位置设置正规施工警示牌、工程概况牌，标注“温馨提示”相关内容。靠近人行通道边（或中标人以为有必要的其他周边）需用整齐美观的板材围护密封施工。</w:t>
      </w:r>
    </w:p>
    <w:p w14:paraId="4F88B89C">
      <w:pPr>
        <w:spacing w:line="360" w:lineRule="auto"/>
        <w:ind w:firstLine="480" w:firstLineChars="200"/>
        <w:rPr>
          <w:rFonts w:ascii="宋体" w:hAnsi="宋体" w:eastAsia="宋体" w:cs="宋体"/>
          <w:bCs/>
        </w:rPr>
      </w:pPr>
      <w:r>
        <w:rPr>
          <w:rFonts w:ascii="宋体" w:hAnsi="宋体" w:eastAsia="宋体" w:cs="宋体"/>
          <w:bCs/>
        </w:rPr>
        <w:t>3</w:t>
      </w:r>
      <w:r>
        <w:rPr>
          <w:rFonts w:hint="eastAsia" w:ascii="宋体" w:hAnsi="宋体" w:eastAsia="宋体" w:cs="宋体"/>
          <w:bCs/>
        </w:rPr>
        <w:t>.</w:t>
      </w:r>
      <w:r>
        <w:rPr>
          <w:rFonts w:ascii="宋体" w:hAnsi="宋体" w:eastAsia="宋体" w:cs="宋体"/>
          <w:bCs/>
        </w:rPr>
        <w:t>中标人施工需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14:paraId="49153138">
      <w:pPr>
        <w:spacing w:line="360" w:lineRule="auto"/>
        <w:ind w:firstLine="480" w:firstLineChars="200"/>
        <w:rPr>
          <w:rFonts w:ascii="宋体" w:hAnsi="宋体" w:eastAsia="宋体" w:cs="宋体"/>
          <w:bCs/>
        </w:rPr>
      </w:pPr>
      <w:r>
        <w:rPr>
          <w:rFonts w:ascii="宋体" w:hAnsi="宋体" w:eastAsia="宋体" w:cs="宋体"/>
          <w:bCs/>
        </w:rPr>
        <w:t>4</w:t>
      </w:r>
      <w:r>
        <w:rPr>
          <w:rFonts w:hint="eastAsia" w:ascii="宋体" w:hAnsi="宋体" w:eastAsia="宋体" w:cs="宋体"/>
          <w:bCs/>
        </w:rPr>
        <w:t>.</w:t>
      </w:r>
      <w:r>
        <w:rPr>
          <w:rFonts w:ascii="宋体" w:hAnsi="宋体" w:eastAsia="宋体" w:cs="宋体"/>
          <w:bCs/>
        </w:rPr>
        <w:t>中标人需在施工过程中注意自身及周边安全，做好现场及周边安全设施搭设，遵守有关安全保护规程，负责施工过程中的所有事故处理和费用。施工中若发生安全事故，一切责任及费用由中标人负责。</w:t>
      </w:r>
    </w:p>
    <w:p w14:paraId="60420359">
      <w:pPr>
        <w:spacing w:line="360" w:lineRule="auto"/>
        <w:ind w:firstLine="480" w:firstLineChars="200"/>
        <w:rPr>
          <w:rFonts w:ascii="宋体" w:hAnsi="宋体" w:eastAsia="宋体" w:cs="宋体"/>
          <w:bCs/>
        </w:rPr>
      </w:pPr>
      <w:r>
        <w:rPr>
          <w:rFonts w:ascii="宋体" w:hAnsi="宋体" w:eastAsia="宋体" w:cs="宋体"/>
          <w:bCs/>
        </w:rPr>
        <w:t>5</w:t>
      </w:r>
      <w:r>
        <w:rPr>
          <w:rFonts w:hint="eastAsia" w:ascii="宋体" w:hAnsi="宋体" w:eastAsia="宋体" w:cs="宋体"/>
          <w:bCs/>
        </w:rPr>
        <w:t>.</w:t>
      </w:r>
      <w:r>
        <w:rPr>
          <w:rFonts w:ascii="宋体" w:hAnsi="宋体" w:eastAsia="宋体" w:cs="宋体"/>
          <w:bCs/>
        </w:rPr>
        <w:t>中标人需服从采购人的监督、指导并积极主动配合上述管理机构的工作。</w:t>
      </w:r>
    </w:p>
    <w:p w14:paraId="197B699E">
      <w:pPr>
        <w:spacing w:line="360" w:lineRule="auto"/>
        <w:ind w:firstLine="480" w:firstLineChars="200"/>
        <w:rPr>
          <w:rFonts w:ascii="宋体" w:hAnsi="宋体" w:eastAsia="宋体" w:cs="宋体"/>
          <w:bCs/>
        </w:rPr>
      </w:pPr>
      <w:r>
        <w:rPr>
          <w:rFonts w:ascii="宋体" w:hAnsi="宋体" w:eastAsia="宋体" w:cs="宋体"/>
          <w:bCs/>
        </w:rPr>
        <w:t>6</w:t>
      </w:r>
      <w:r>
        <w:rPr>
          <w:rFonts w:hint="eastAsia" w:ascii="宋体" w:hAnsi="宋体" w:eastAsia="宋体" w:cs="宋体"/>
          <w:bCs/>
        </w:rPr>
        <w:t>.</w:t>
      </w:r>
      <w:r>
        <w:rPr>
          <w:rFonts w:ascii="宋体" w:hAnsi="宋体" w:eastAsia="宋体" w:cs="宋体"/>
          <w:bCs/>
        </w:rPr>
        <w:t>中标人施工时需提供材料样板，经采购人最终确认后，方可进场使用。</w:t>
      </w:r>
    </w:p>
    <w:p w14:paraId="6E69E304">
      <w:pPr>
        <w:spacing w:line="360" w:lineRule="auto"/>
        <w:ind w:firstLine="480" w:firstLineChars="200"/>
        <w:rPr>
          <w:rFonts w:ascii="宋体" w:hAnsi="宋体" w:eastAsia="宋体" w:cs="宋体"/>
          <w:bCs/>
        </w:rPr>
      </w:pPr>
      <w:r>
        <w:rPr>
          <w:rFonts w:ascii="宋体" w:hAnsi="宋体" w:eastAsia="宋体" w:cs="宋体"/>
          <w:bCs/>
        </w:rPr>
        <w:t>7</w:t>
      </w:r>
      <w:r>
        <w:rPr>
          <w:rFonts w:hint="eastAsia" w:ascii="宋体" w:hAnsi="宋体" w:eastAsia="宋体" w:cs="宋体"/>
          <w:bCs/>
        </w:rPr>
        <w:t>.</w:t>
      </w:r>
      <w:r>
        <w:rPr>
          <w:rFonts w:ascii="宋体" w:hAnsi="宋体" w:eastAsia="宋体" w:cs="宋体"/>
          <w:bCs/>
        </w:rPr>
        <w:t>中标人的交通维护方案需保证施工期间的交通组织符合深圳市公安交通管理的有关规定，保证院内车辆运行通畅和施工安全。</w:t>
      </w:r>
    </w:p>
    <w:p w14:paraId="3F8A312A">
      <w:pPr>
        <w:spacing w:line="360" w:lineRule="auto"/>
        <w:ind w:firstLine="480" w:firstLineChars="200"/>
        <w:rPr>
          <w:rFonts w:ascii="宋体" w:hAnsi="宋体" w:eastAsia="宋体" w:cs="宋体"/>
          <w:bCs/>
        </w:rPr>
      </w:pPr>
      <w:r>
        <w:rPr>
          <w:rFonts w:ascii="宋体" w:hAnsi="宋体" w:eastAsia="宋体" w:cs="宋体"/>
          <w:bCs/>
        </w:rPr>
        <w:t>8</w:t>
      </w:r>
      <w:r>
        <w:rPr>
          <w:rFonts w:hint="eastAsia" w:ascii="宋体" w:hAnsi="宋体" w:eastAsia="宋体" w:cs="宋体"/>
          <w:bCs/>
        </w:rPr>
        <w:t>.</w:t>
      </w:r>
      <w:r>
        <w:rPr>
          <w:rFonts w:ascii="宋体" w:hAnsi="宋体" w:eastAsia="宋体" w:cs="宋体"/>
          <w:bCs/>
        </w:rPr>
        <w:t>中标人单方面终止合同，构成违约，其工程款不予支付并赔偿采购人损失。</w:t>
      </w:r>
    </w:p>
    <w:p w14:paraId="48049BF5">
      <w:pPr>
        <w:spacing w:line="360" w:lineRule="auto"/>
        <w:rPr>
          <w:rFonts w:ascii="宋体" w:hAnsi="宋体" w:eastAsia="宋体" w:cs="宋体"/>
          <w:b/>
          <w:bCs/>
        </w:rPr>
      </w:pPr>
      <w:r>
        <w:rPr>
          <w:rFonts w:hint="eastAsia" w:ascii="宋体" w:hAnsi="宋体" w:eastAsia="宋体" w:cs="宋体"/>
          <w:b/>
          <w:bCs/>
        </w:rPr>
        <w:t>4、</w:t>
      </w:r>
      <w:r>
        <w:rPr>
          <w:rFonts w:ascii="宋体" w:hAnsi="宋体" w:eastAsia="宋体" w:cs="宋体"/>
          <w:b/>
          <w:bCs/>
        </w:rPr>
        <w:t>服务要求：</w:t>
      </w:r>
    </w:p>
    <w:p w14:paraId="05F9F484">
      <w:pPr>
        <w:spacing w:line="360" w:lineRule="auto"/>
        <w:ind w:firstLine="480" w:firstLineChars="200"/>
        <w:rPr>
          <w:rFonts w:ascii="宋体" w:hAnsi="宋体" w:eastAsia="宋体" w:cs="宋体"/>
          <w:bCs/>
        </w:rPr>
      </w:pPr>
      <w:r>
        <w:rPr>
          <w:rFonts w:ascii="宋体" w:hAnsi="宋体" w:eastAsia="宋体" w:cs="宋体"/>
          <w:bCs/>
        </w:rPr>
        <w:t>1.中标人对采购人交待的维修任务，应当及时提供维修派工报价单或工程预算书，报采购人按医院相关审批流程批准后实施。（紧急工程可根据中标人指示先实施工作，后补预算书）</w:t>
      </w:r>
    </w:p>
    <w:p w14:paraId="048033DA">
      <w:pPr>
        <w:spacing w:line="360" w:lineRule="auto"/>
        <w:ind w:firstLine="480" w:firstLineChars="200"/>
        <w:rPr>
          <w:rFonts w:ascii="宋体" w:hAnsi="宋体" w:eastAsia="宋体" w:cs="宋体"/>
          <w:bCs/>
        </w:rPr>
      </w:pPr>
      <w:r>
        <w:rPr>
          <w:rFonts w:ascii="宋体" w:hAnsi="宋体" w:eastAsia="宋体" w:cs="宋体"/>
          <w:bCs/>
        </w:rPr>
        <w:t>2.施工过程中严格执行施工规范、安全操作规程、防火安全规定、环境保护规定，办理相关申报审批手续。严格按照图纸或作法说明进行施工，做好各项质量检查记录。参加竣工验收，编制工程结算。</w:t>
      </w:r>
    </w:p>
    <w:p w14:paraId="6732FCE0">
      <w:pPr>
        <w:spacing w:line="360" w:lineRule="auto"/>
        <w:ind w:firstLine="480" w:firstLineChars="200"/>
        <w:rPr>
          <w:rFonts w:ascii="宋体" w:hAnsi="宋体" w:eastAsia="宋体" w:cs="宋体"/>
          <w:bCs/>
        </w:rPr>
      </w:pPr>
      <w:r>
        <w:rPr>
          <w:rFonts w:ascii="宋体" w:hAnsi="宋体" w:eastAsia="宋体" w:cs="宋体"/>
          <w:bCs/>
        </w:rPr>
        <w:t>3.遵守国家或地方政府及有关部门对施工现场管理的规定，妥善保护好施工现场周围建筑物、设备管线、古树名木。做好施工现场保卫和垃圾清运等工作，处理好由于施工带来的扰民问题及周围单位（住户）的关系。</w:t>
      </w:r>
    </w:p>
    <w:p w14:paraId="78DFA7C0">
      <w:pPr>
        <w:spacing w:line="360" w:lineRule="auto"/>
        <w:ind w:firstLine="480" w:firstLineChars="200"/>
        <w:rPr>
          <w:rFonts w:ascii="宋体" w:hAnsi="宋体" w:eastAsia="宋体" w:cs="宋体"/>
          <w:bCs/>
        </w:rPr>
      </w:pPr>
      <w:r>
        <w:rPr>
          <w:rFonts w:ascii="宋体" w:hAnsi="宋体" w:eastAsia="宋体" w:cs="宋体"/>
          <w:bCs/>
        </w:rPr>
        <w:t>4.施工中未经采购人同意或有关部门批准，不得随意拆改原建筑结构及各种设备管线。</w:t>
      </w:r>
    </w:p>
    <w:p w14:paraId="316F7297">
      <w:pPr>
        <w:spacing w:line="360" w:lineRule="auto"/>
        <w:ind w:firstLine="480" w:firstLineChars="200"/>
        <w:rPr>
          <w:rFonts w:ascii="宋体" w:hAnsi="宋体" w:eastAsia="宋体" w:cs="宋体"/>
          <w:bCs/>
        </w:rPr>
      </w:pPr>
      <w:r>
        <w:rPr>
          <w:rFonts w:ascii="宋体" w:hAnsi="宋体" w:eastAsia="宋体" w:cs="宋体"/>
          <w:bCs/>
        </w:rPr>
        <w:t>5.工程竣工未移交采购人之前，负责对现场的一切设施和工程成品进行保护。</w:t>
      </w:r>
    </w:p>
    <w:p w14:paraId="5D005FEC">
      <w:pPr>
        <w:spacing w:line="360" w:lineRule="auto"/>
        <w:ind w:firstLine="480" w:firstLineChars="200"/>
        <w:rPr>
          <w:rFonts w:ascii="宋体" w:hAnsi="宋体" w:eastAsia="宋体" w:cs="宋体"/>
          <w:bCs/>
        </w:rPr>
      </w:pPr>
      <w:r>
        <w:rPr>
          <w:rFonts w:ascii="宋体" w:hAnsi="宋体" w:eastAsia="宋体" w:cs="宋体"/>
          <w:bCs/>
        </w:rPr>
        <w:t>6.中标人工程施工人员及管理人员应具备相应从业资质，持证上岗。</w:t>
      </w:r>
    </w:p>
    <w:p w14:paraId="2CD39F55">
      <w:pPr>
        <w:spacing w:line="360" w:lineRule="auto"/>
        <w:ind w:firstLine="480" w:firstLineChars="200"/>
        <w:rPr>
          <w:rFonts w:ascii="宋体" w:hAnsi="宋体" w:eastAsia="宋体" w:cs="宋体"/>
          <w:bCs/>
        </w:rPr>
      </w:pPr>
      <w:r>
        <w:rPr>
          <w:rFonts w:ascii="宋体" w:hAnsi="宋体" w:eastAsia="宋体" w:cs="宋体"/>
          <w:bCs/>
        </w:rPr>
        <w:t>7.中标人在施工中需注意文明施工和安全作业，如出现任何安全和质量事故，采购人概不负责，由中标人承担全部责任。因中标人及中标人的工作人员给自身、第三方、采购人造成的一切损害均由中标人自行承担，若因上述原因使采购人造成任何损失的，采购人有权向中标人追偿。</w:t>
      </w:r>
    </w:p>
    <w:p w14:paraId="234E2964">
      <w:pPr>
        <w:spacing w:line="360" w:lineRule="auto"/>
        <w:ind w:firstLine="480" w:firstLineChars="200"/>
        <w:rPr>
          <w:rFonts w:ascii="宋体" w:hAnsi="宋体" w:eastAsia="宋体" w:cs="宋体"/>
          <w:bCs/>
        </w:rPr>
      </w:pPr>
      <w:r>
        <w:rPr>
          <w:rFonts w:ascii="宋体" w:hAnsi="宋体" w:eastAsia="宋体" w:cs="宋体"/>
          <w:bCs/>
        </w:rPr>
        <w:t>8.中标人在施工中如未按采购人的要求和规定标准、工艺进行施工时，采购人有权要求中标人进行整改，中标人需无条件执行，并承担相应的逾期违约责任。</w:t>
      </w:r>
    </w:p>
    <w:p w14:paraId="4A0ABDED">
      <w:pPr>
        <w:spacing w:line="360" w:lineRule="auto"/>
        <w:ind w:firstLine="480" w:firstLineChars="200"/>
        <w:rPr>
          <w:rFonts w:ascii="宋体" w:hAnsi="宋体" w:eastAsia="宋体" w:cs="宋体"/>
          <w:bCs/>
        </w:rPr>
      </w:pPr>
      <w:r>
        <w:rPr>
          <w:rFonts w:ascii="宋体" w:hAnsi="宋体" w:eastAsia="宋体" w:cs="宋体"/>
          <w:bCs/>
        </w:rPr>
        <w:t>9.中标人应有能力完成各类紧急抢修,维修工程，对于紧急抢修、维修工程，施工方在接到采购人下达的任务后，应在1天内作出响应，开始施工。</w:t>
      </w:r>
    </w:p>
    <w:p w14:paraId="0239DB81">
      <w:pPr>
        <w:spacing w:line="360" w:lineRule="auto"/>
        <w:ind w:firstLine="480" w:firstLineChars="200"/>
        <w:rPr>
          <w:rFonts w:ascii="宋体" w:hAnsi="宋体" w:eastAsia="宋体" w:cs="宋体"/>
          <w:bCs/>
        </w:rPr>
      </w:pPr>
      <w:r>
        <w:rPr>
          <w:rFonts w:ascii="宋体" w:hAnsi="宋体" w:eastAsia="宋体" w:cs="宋体"/>
          <w:bCs/>
        </w:rPr>
        <w:t>10.对于零星工程，中标人在接到采购人下达的任务后，应在当天内作出响应，制定方案并经采购人同意后，开始施工</w:t>
      </w:r>
      <w:r>
        <w:rPr>
          <w:rFonts w:hint="eastAsia" w:ascii="宋体" w:hAnsi="宋体" w:eastAsia="宋体" w:cs="宋体"/>
          <w:bCs/>
        </w:rPr>
        <w:t>，</w:t>
      </w:r>
      <w:r>
        <w:rPr>
          <w:rFonts w:ascii="宋体" w:hAnsi="宋体" w:eastAsia="宋体" w:cs="宋体"/>
          <w:bCs/>
        </w:rPr>
        <w:t>保质保量按时完成施工任务。</w:t>
      </w:r>
    </w:p>
    <w:p w14:paraId="68481E5C">
      <w:pPr>
        <w:spacing w:line="360" w:lineRule="auto"/>
        <w:ind w:firstLine="480" w:firstLineChars="200"/>
        <w:rPr>
          <w:rFonts w:ascii="宋体" w:hAnsi="宋体" w:eastAsia="宋体" w:cs="宋体"/>
          <w:bCs/>
        </w:rPr>
      </w:pPr>
      <w:r>
        <w:rPr>
          <w:rFonts w:ascii="宋体" w:hAnsi="宋体" w:eastAsia="宋体" w:cs="宋体"/>
          <w:bCs/>
        </w:rPr>
        <w:t>11.质保期内工程质量若达不到标准,中标人必须返工至合格,并承担造成的一切经济损失,同时采购人有权终止合同。</w:t>
      </w:r>
    </w:p>
    <w:p w14:paraId="0AEDD127">
      <w:pPr>
        <w:spacing w:line="360" w:lineRule="auto"/>
        <w:ind w:firstLine="480" w:firstLineChars="200"/>
        <w:rPr>
          <w:rFonts w:ascii="宋体" w:hAnsi="宋体" w:eastAsia="宋体" w:cs="宋体"/>
          <w:bCs/>
        </w:rPr>
      </w:pPr>
      <w:r>
        <w:rPr>
          <w:rFonts w:ascii="宋体" w:hAnsi="宋体" w:eastAsia="宋体" w:cs="宋体"/>
          <w:bCs/>
        </w:rPr>
        <w:t>12.中标人不得任意改动采购人确定的施工图设计与施工方案，发生工程签证及设计变更的，应及时向采购人提出书面工程签证和设计变更审批。</w:t>
      </w:r>
    </w:p>
    <w:p w14:paraId="1010DE7A">
      <w:pPr>
        <w:spacing w:line="360" w:lineRule="auto"/>
        <w:ind w:firstLine="480" w:firstLineChars="200"/>
        <w:rPr>
          <w:rFonts w:ascii="宋体" w:hAnsi="宋体" w:eastAsia="宋体" w:cs="宋体"/>
          <w:bCs/>
        </w:rPr>
      </w:pPr>
      <w:r>
        <w:rPr>
          <w:rFonts w:ascii="宋体" w:hAnsi="宋体" w:eastAsia="宋体" w:cs="宋体"/>
          <w:bCs/>
        </w:rPr>
        <w:t>13.中标人所用的材料需是合格的，规格、质量、性能等必须符合国家标准及采购人规定的相关要求。</w:t>
      </w:r>
    </w:p>
    <w:p w14:paraId="50EA8FFF">
      <w:pPr>
        <w:spacing w:line="360" w:lineRule="auto"/>
        <w:ind w:firstLine="480" w:firstLineChars="200"/>
        <w:rPr>
          <w:rFonts w:ascii="宋体" w:hAnsi="宋体" w:eastAsia="宋体" w:cs="宋体"/>
          <w:bCs/>
        </w:rPr>
      </w:pPr>
      <w:r>
        <w:rPr>
          <w:rFonts w:ascii="宋体" w:hAnsi="宋体" w:eastAsia="宋体" w:cs="宋体"/>
          <w:bCs/>
        </w:rPr>
        <w:t>14.工程所需的设备由中标人自行准备,但必须符合相关的法律法规和环保要求。</w:t>
      </w:r>
    </w:p>
    <w:p w14:paraId="24ECDAAD">
      <w:pPr>
        <w:spacing w:line="360" w:lineRule="auto"/>
        <w:ind w:firstLine="480" w:firstLineChars="200"/>
        <w:rPr>
          <w:rFonts w:ascii="宋体" w:hAnsi="宋体" w:eastAsia="宋体" w:cs="宋体"/>
          <w:bCs/>
        </w:rPr>
      </w:pPr>
      <w:r>
        <w:rPr>
          <w:rFonts w:ascii="宋体" w:hAnsi="宋体" w:eastAsia="宋体" w:cs="宋体"/>
          <w:bCs/>
        </w:rPr>
        <w:t>15.中标人不得擅自将工程项目转包给第三方施工,否则采购人有权停止项目施工并采取终止合同等处罚措施。</w:t>
      </w:r>
    </w:p>
    <w:p w14:paraId="67F8E089">
      <w:pPr>
        <w:spacing w:line="360" w:lineRule="auto"/>
        <w:ind w:firstLine="480" w:firstLineChars="200"/>
        <w:rPr>
          <w:rFonts w:ascii="宋体" w:hAnsi="宋体" w:eastAsia="宋体" w:cs="宋体"/>
          <w:bCs/>
        </w:rPr>
      </w:pPr>
      <w:r>
        <w:rPr>
          <w:rFonts w:ascii="宋体" w:hAnsi="宋体" w:eastAsia="宋体" w:cs="宋体"/>
          <w:bCs/>
        </w:rPr>
        <w:t>16.中标人根据施工需要提供的项目概预算、施工方案及平面图等相关项目资料属不额外收费性质,采购人无需另行支付除工程款项外的其他费用。</w:t>
      </w:r>
    </w:p>
    <w:p w14:paraId="659A4D0E">
      <w:pPr>
        <w:spacing w:line="360" w:lineRule="auto"/>
        <w:ind w:firstLine="480" w:firstLineChars="200"/>
        <w:rPr>
          <w:rFonts w:ascii="宋体" w:hAnsi="宋体" w:eastAsia="宋体" w:cs="宋体"/>
          <w:bCs/>
        </w:rPr>
      </w:pPr>
      <w:r>
        <w:rPr>
          <w:rFonts w:ascii="宋体" w:hAnsi="宋体" w:eastAsia="宋体" w:cs="宋体"/>
          <w:bCs/>
        </w:rPr>
        <w:t>17.中标人在施工过程中应认真贯彻“安全第一、预防为主、综合治理”的方针，设立安全员，全面负责施工工程的安全，统筹工程安全生产工作，保证并监督各项措施的实施。确保工程施工过程中不发生安全生产事故。</w:t>
      </w:r>
    </w:p>
    <w:p w14:paraId="6CD3EF69">
      <w:pPr>
        <w:spacing w:line="360" w:lineRule="auto"/>
        <w:ind w:firstLine="480" w:firstLineChars="200"/>
        <w:rPr>
          <w:rFonts w:ascii="宋体" w:hAnsi="宋体" w:eastAsia="宋体" w:cs="宋体"/>
          <w:bCs/>
        </w:rPr>
      </w:pPr>
      <w:r>
        <w:rPr>
          <w:rFonts w:ascii="宋体" w:hAnsi="宋体" w:eastAsia="宋体" w:cs="宋体"/>
          <w:bCs/>
        </w:rPr>
        <w:t>18.采购人要求比合同约定的工期提前竣工时，应征得中标人同意；如果中标人通过努力能够实现的，则中标人需响应。</w:t>
      </w:r>
    </w:p>
    <w:p w14:paraId="6F17C272">
      <w:pPr>
        <w:spacing w:line="360" w:lineRule="auto"/>
        <w:ind w:firstLine="480" w:firstLineChars="200"/>
        <w:rPr>
          <w:rFonts w:ascii="宋体" w:hAnsi="宋体" w:eastAsia="宋体" w:cs="宋体"/>
          <w:bCs/>
        </w:rPr>
      </w:pPr>
      <w:r>
        <w:rPr>
          <w:rFonts w:ascii="宋体" w:hAnsi="宋体" w:eastAsia="宋体" w:cs="宋体"/>
          <w:bCs/>
        </w:rPr>
        <w:t>19.因采购人因素影响施工工期的，则工期相应顺延。</w:t>
      </w:r>
    </w:p>
    <w:p w14:paraId="59F70CA7">
      <w:pPr>
        <w:spacing w:line="360" w:lineRule="auto"/>
        <w:ind w:firstLine="480" w:firstLineChars="200"/>
        <w:rPr>
          <w:rFonts w:ascii="宋体" w:hAnsi="宋体" w:eastAsia="宋体" w:cs="宋体"/>
          <w:bCs/>
        </w:rPr>
      </w:pPr>
      <w:r>
        <w:rPr>
          <w:rFonts w:ascii="宋体" w:hAnsi="宋体" w:eastAsia="宋体" w:cs="宋体"/>
          <w:bCs/>
        </w:rPr>
        <w:t>20.因中标人责任，造成工程不能按期开工或中途无故停工影响工期的，则工期不顺延且采购人有权追偿因工期延误造成的损失。</w:t>
      </w:r>
    </w:p>
    <w:p w14:paraId="2AD449F0">
      <w:pPr>
        <w:spacing w:line="360" w:lineRule="auto"/>
        <w:ind w:firstLine="480" w:firstLineChars="200"/>
        <w:rPr>
          <w:rFonts w:ascii="宋体" w:hAnsi="宋体" w:eastAsia="宋体" w:cs="宋体"/>
          <w:bCs/>
        </w:rPr>
      </w:pPr>
      <w:r>
        <w:rPr>
          <w:rFonts w:ascii="宋体" w:hAnsi="宋体" w:eastAsia="宋体" w:cs="宋体"/>
          <w:bCs/>
        </w:rPr>
        <w:t>21.因设计变更或非中标人原因造成的停电、停水、停气及不可抗力因素影响，导致停止24小时以上（一周内累计计算），工期相应顺延。</w:t>
      </w:r>
    </w:p>
    <w:p w14:paraId="1242D28B">
      <w:pPr>
        <w:spacing w:line="360" w:lineRule="auto"/>
        <w:ind w:firstLine="480" w:firstLineChars="200"/>
        <w:rPr>
          <w:rFonts w:ascii="宋体" w:hAnsi="宋体" w:eastAsia="宋体" w:cs="宋体"/>
          <w:bCs/>
        </w:rPr>
      </w:pPr>
      <w:r>
        <w:rPr>
          <w:rFonts w:ascii="宋体" w:hAnsi="宋体" w:eastAsia="宋体" w:cs="宋体"/>
          <w:bCs/>
        </w:rPr>
        <w:t>22.因中标人原因造成安全事故或导致采购人名誉受损的，由中标人承担由此产生的各项责任，包括但不限于行政责任、民事责任及刑事责任，并负责善后处理（涉及到金额赔付的，由中标人实赔实付）</w:t>
      </w:r>
      <w:r>
        <w:rPr>
          <w:rFonts w:hint="eastAsia" w:ascii="宋体" w:hAnsi="宋体" w:eastAsia="宋体" w:cs="宋体"/>
          <w:bCs/>
        </w:rPr>
        <w:t>。</w:t>
      </w:r>
    </w:p>
    <w:p w14:paraId="1B9307A3">
      <w:pPr>
        <w:spacing w:line="360" w:lineRule="auto"/>
        <w:ind w:firstLine="480" w:firstLineChars="200"/>
        <w:rPr>
          <w:rFonts w:ascii="宋体" w:hAnsi="宋体" w:eastAsia="宋体" w:cs="宋体"/>
          <w:bCs/>
        </w:rPr>
      </w:pPr>
      <w:r>
        <w:rPr>
          <w:rFonts w:hint="eastAsia" w:ascii="宋体" w:hAnsi="宋体" w:eastAsia="宋体" w:cs="宋体"/>
          <w:bCs/>
        </w:rPr>
        <w:t>23.</w:t>
      </w:r>
      <w:r>
        <w:rPr>
          <w:rFonts w:ascii="宋体" w:hAnsi="宋体" w:eastAsia="宋体"/>
          <w:kern w:val="2"/>
          <w:sz w:val="21"/>
          <w:szCs w:val="21"/>
        </w:rPr>
        <w:t xml:space="preserve"> </w:t>
      </w:r>
      <w:r>
        <w:rPr>
          <w:rFonts w:ascii="宋体" w:hAnsi="宋体" w:eastAsia="宋体" w:cs="宋体"/>
          <w:bCs/>
        </w:rPr>
        <w:t>中标人3天内仍未按采购人的需求进行零星修缮服务的，无正当理由的，一次罚款300元，在月度支付时扣除</w:t>
      </w:r>
      <w:r>
        <w:rPr>
          <w:rFonts w:hint="eastAsia" w:ascii="宋体" w:hAnsi="宋体" w:eastAsia="宋体" w:cs="宋体"/>
          <w:bCs/>
        </w:rPr>
        <w:t>。</w:t>
      </w:r>
    </w:p>
    <w:p w14:paraId="494BF4E1">
      <w:pPr>
        <w:spacing w:line="360" w:lineRule="auto"/>
        <w:rPr>
          <w:rFonts w:ascii="宋体" w:hAnsi="宋体" w:eastAsia="宋体" w:cs="宋体"/>
          <w:b/>
          <w:szCs w:val="21"/>
        </w:rPr>
      </w:pPr>
      <w:r>
        <w:rPr>
          <w:rFonts w:hint="eastAsia" w:ascii="宋体" w:hAnsi="宋体" w:eastAsia="宋体" w:cs="宋体"/>
          <w:b/>
          <w:szCs w:val="21"/>
        </w:rPr>
        <w:t>5、成果要求</w:t>
      </w:r>
    </w:p>
    <w:p w14:paraId="5C6793EF">
      <w:pPr>
        <w:spacing w:line="360" w:lineRule="auto"/>
        <w:ind w:firstLine="480" w:firstLineChars="200"/>
        <w:rPr>
          <w:rFonts w:ascii="宋体" w:hAnsi="宋体" w:eastAsia="宋体" w:cs="宋体"/>
          <w:bCs/>
          <w:szCs w:val="21"/>
        </w:rPr>
      </w:pPr>
      <w:r>
        <w:rPr>
          <w:rFonts w:hint="eastAsia" w:ascii="宋体" w:hAnsi="宋体" w:eastAsia="宋体" w:cs="宋体"/>
          <w:bCs/>
          <w:szCs w:val="21"/>
        </w:rPr>
        <w:t>1.项目工程以施工图纸、作法说明、设计变更和国家制订的与工程项目有关的施工及验收规范为质量评定验收标准。</w:t>
      </w:r>
    </w:p>
    <w:p w14:paraId="74582471">
      <w:pPr>
        <w:spacing w:line="360" w:lineRule="auto"/>
        <w:ind w:firstLine="480" w:firstLineChars="200"/>
        <w:rPr>
          <w:rFonts w:ascii="宋体" w:hAnsi="宋体" w:eastAsia="宋体" w:cs="宋体"/>
          <w:bCs/>
          <w:szCs w:val="21"/>
        </w:rPr>
      </w:pPr>
      <w:r>
        <w:rPr>
          <w:rFonts w:hint="eastAsia" w:ascii="宋体" w:hAnsi="宋体" w:eastAsia="宋体" w:cs="宋体"/>
          <w:bCs/>
          <w:szCs w:val="21"/>
        </w:rPr>
        <w:t>2.工程质量应达到合同约定的质量标准，达不到约定标准的，中标人应承担违约责任。</w:t>
      </w:r>
    </w:p>
    <w:p w14:paraId="403324F7">
      <w:pPr>
        <w:spacing w:line="360" w:lineRule="auto"/>
        <w:ind w:firstLine="480" w:firstLineChars="200"/>
        <w:rPr>
          <w:rFonts w:ascii="宋体" w:hAnsi="宋体" w:eastAsia="宋体" w:cs="宋体"/>
          <w:bCs/>
          <w:szCs w:val="21"/>
        </w:rPr>
      </w:pPr>
      <w:r>
        <w:rPr>
          <w:rFonts w:hint="eastAsia" w:ascii="宋体" w:hAnsi="宋体" w:eastAsia="宋体" w:cs="宋体"/>
          <w:bCs/>
          <w:szCs w:val="21"/>
        </w:rPr>
        <w:t>3.采购人、中标人双方应及时办理隐蔽工程和中间工程的检查与验收手续。采购人不按时参加隐蔽工程和中间工程验收，经中标人通知后3工作日仍未参加的，中标人可自行验收，采购人应予承认。若采购人要求复验时，中标人应按要求办理复验。若复验合格，采购人应承担复验费用，由此造成停工的，工期相应顺延；若复验不合格，其复验及返工费用由中标人承担，工期不予顺延。</w:t>
      </w:r>
    </w:p>
    <w:p w14:paraId="4F0AC4FB">
      <w:pPr>
        <w:spacing w:line="360" w:lineRule="auto"/>
        <w:ind w:firstLine="480" w:firstLineChars="200"/>
        <w:rPr>
          <w:rFonts w:ascii="宋体" w:hAnsi="宋体" w:eastAsia="宋体" w:cs="宋体"/>
          <w:bCs/>
          <w:szCs w:val="21"/>
        </w:rPr>
      </w:pPr>
      <w:r>
        <w:rPr>
          <w:rFonts w:hint="eastAsia" w:ascii="宋体" w:hAnsi="宋体" w:eastAsia="宋体" w:cs="宋体"/>
          <w:bCs/>
          <w:szCs w:val="21"/>
        </w:rPr>
        <w:t>4.由于采购人提供的材料、设备质量不合格而影响工程质量的，其返工费用由采购人承担，且工期相应顺延。</w:t>
      </w:r>
    </w:p>
    <w:p w14:paraId="323FBEDA">
      <w:pPr>
        <w:spacing w:line="360" w:lineRule="auto"/>
        <w:ind w:firstLine="480" w:firstLineChars="200"/>
        <w:rPr>
          <w:rFonts w:ascii="宋体" w:hAnsi="宋体" w:eastAsia="宋体" w:cs="宋体"/>
          <w:bCs/>
          <w:szCs w:val="21"/>
        </w:rPr>
      </w:pPr>
      <w:r>
        <w:rPr>
          <w:rFonts w:hint="eastAsia" w:ascii="宋体" w:hAnsi="宋体" w:eastAsia="宋体" w:cs="宋体"/>
          <w:bCs/>
          <w:szCs w:val="21"/>
        </w:rPr>
        <w:t>5.由于中标人原因造成质量事故的，其返工费用由中标人承担，工期不顺延。</w:t>
      </w:r>
    </w:p>
    <w:p w14:paraId="0D74E285">
      <w:pPr>
        <w:spacing w:line="360" w:lineRule="auto"/>
        <w:ind w:firstLine="480" w:firstLineChars="200"/>
        <w:rPr>
          <w:rFonts w:ascii="宋体" w:hAnsi="宋体" w:eastAsia="宋体" w:cs="宋体"/>
          <w:bCs/>
          <w:szCs w:val="21"/>
        </w:rPr>
      </w:pPr>
      <w:r>
        <w:rPr>
          <w:rFonts w:hint="eastAsia" w:ascii="宋体" w:hAnsi="宋体" w:eastAsia="宋体" w:cs="宋体"/>
          <w:bCs/>
          <w:szCs w:val="21"/>
        </w:rPr>
        <w:t>6.工程竣工后，中标人应通知采购人验收，采购人自接到验收通知5日内组织验收，并办理验收、移交手续。如采购人在规定时间内未能组织验收，需及时通知中标人，另定验收日期。</w:t>
      </w:r>
    </w:p>
    <w:p w14:paraId="62233DA8">
      <w:pPr>
        <w:rPr>
          <w:rFonts w:ascii="宋体" w:hAnsi="宋体" w:eastAsia="宋体"/>
          <w:b/>
          <w:bCs/>
          <w:sz w:val="28"/>
          <w:szCs w:val="28"/>
        </w:rPr>
      </w:pPr>
      <w:r>
        <w:rPr>
          <w:rFonts w:ascii="宋体" w:hAnsi="宋体" w:eastAsia="宋体"/>
          <w:b/>
          <w:bCs/>
          <w:sz w:val="28"/>
          <w:szCs w:val="28"/>
        </w:rPr>
        <w:br w:type="page"/>
      </w:r>
    </w:p>
    <w:p w14:paraId="04171374">
      <w:pPr>
        <w:keepNext/>
        <w:keepLines/>
        <w:adjustRightInd w:val="0"/>
        <w:spacing w:before="260" w:after="260" w:line="360" w:lineRule="auto"/>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BA7ED68">
      <w:pPr>
        <w:spacing w:line="360" w:lineRule="auto"/>
        <w:outlineLvl w:val="2"/>
        <w:rPr>
          <w:rFonts w:ascii="黑体" w:eastAsia="黑体"/>
          <w:b/>
          <w:bCs/>
          <w:color w:val="FF0000"/>
          <w:sz w:val="28"/>
        </w:rPr>
      </w:pPr>
      <w:r>
        <w:rPr>
          <w:rFonts w:hint="eastAsia" w:ascii="黑体" w:eastAsia="黑体"/>
          <w:b/>
          <w:bCs/>
          <w:color w:val="FF0000"/>
          <w:sz w:val="28"/>
        </w:rPr>
        <w:t>特别提醒：</w:t>
      </w:r>
    </w:p>
    <w:p w14:paraId="5C8CB99C">
      <w:pPr>
        <w:spacing w:line="360" w:lineRule="auto"/>
        <w:ind w:firstLine="472" w:firstLineChars="196"/>
        <w:rPr>
          <w:rFonts w:ascii="Arial" w:hAnsi="Arial"/>
          <w:b/>
          <w:color w:val="FF0000"/>
        </w:rPr>
      </w:pPr>
      <w:r>
        <w:rPr>
          <w:rFonts w:hint="eastAsia" w:ascii="Arial" w:hAnsi="Arial"/>
          <w:b/>
          <w:color w:val="FF0000"/>
        </w:rPr>
        <w:t>根据《中华人民共和国政府采购法》及《深圳经济特区政府采购条例》有关规定，为增强各投标人诚信守法、公平竞争意识，规范各投标人投标行为，有效遏制投标人在政府采购活动中的串标围标、造假等不诚信行为，促进我区政府采购市场诚信体系建设，确保我区政府采购工作公开、公平和公正，招标机构将依法依规对如下投标信息予以公示，望各投标人给予配合，履行好自身的权益和义务。</w:t>
      </w:r>
    </w:p>
    <w:p w14:paraId="2B69CF98">
      <w:pPr>
        <w:spacing w:line="360" w:lineRule="auto"/>
        <w:ind w:firstLine="470" w:firstLineChars="196"/>
        <w:rPr>
          <w:rFonts w:ascii="Arial" w:hAnsi="Arial"/>
          <w:color w:val="FF0000"/>
        </w:rPr>
      </w:pPr>
      <w:r>
        <w:rPr>
          <w:rFonts w:hint="eastAsia" w:ascii="Arial" w:hAnsi="Arial"/>
          <w:color w:val="FF0000"/>
        </w:rPr>
        <w:t>（1）公示的内容：如投标函、政府采购投标及履约承诺函、分项报价清单、中小企业声明函、招标文件要求的其它内容或投标人认为需要补充的资料等（具体以</w:t>
      </w:r>
      <w:r>
        <w:rPr>
          <w:rFonts w:ascii="Arial" w:hAnsi="Arial"/>
          <w:color w:val="FF0000"/>
        </w:rPr>
        <w:t>“</w:t>
      </w:r>
      <w:r>
        <w:rPr>
          <w:rFonts w:hint="eastAsia" w:ascii="Arial" w:hAnsi="Arial"/>
          <w:color w:val="FF0000"/>
        </w:rPr>
        <w:t>投标文件正文</w:t>
      </w:r>
      <w:r>
        <w:rPr>
          <w:rFonts w:ascii="Arial" w:hAnsi="Arial"/>
          <w:color w:val="FF0000"/>
        </w:rPr>
        <w:t>”</w:t>
      </w:r>
      <w:r>
        <w:rPr>
          <w:rFonts w:hint="eastAsia" w:ascii="Arial" w:hAnsi="Arial"/>
          <w:color w:val="FF0000"/>
        </w:rPr>
        <w:t>中涉及的内容为准）。</w:t>
      </w:r>
    </w:p>
    <w:p w14:paraId="75B4C479">
      <w:pPr>
        <w:spacing w:line="360" w:lineRule="auto"/>
        <w:ind w:firstLine="470" w:firstLineChars="196"/>
        <w:rPr>
          <w:rFonts w:ascii="Arial" w:hAnsi="Arial"/>
          <w:color w:val="FF0000"/>
        </w:rPr>
      </w:pPr>
      <w:r>
        <w:rPr>
          <w:rFonts w:hint="eastAsia" w:ascii="Arial" w:hAnsi="Arial"/>
          <w:color w:val="FF0000"/>
        </w:rPr>
        <w:t>（2）公示时间：公示时间为中标结果公布环节。当发布中标结果时，同时向社会公布参加该政府采购项目的投标人（包括中标和未中标投标人）的投标文件。对公开招标失败项目的投标文件不予公开。</w:t>
      </w:r>
    </w:p>
    <w:p w14:paraId="2E1D88C3">
      <w:pPr>
        <w:spacing w:line="360" w:lineRule="auto"/>
        <w:ind w:firstLine="470" w:firstLineChars="196"/>
        <w:rPr>
          <w:rFonts w:ascii="Arial" w:hAnsi="Arial"/>
          <w:color w:val="FF0000"/>
        </w:rPr>
      </w:pPr>
      <w:r>
        <w:rPr>
          <w:rFonts w:hint="eastAsia" w:ascii="Arial" w:hAnsi="Arial"/>
          <w:color w:val="FF0000"/>
        </w:rPr>
        <w:t>投标文件正文将对外公开，投标文件附件不公开。投标人</w:t>
      </w:r>
      <w:r>
        <w:rPr>
          <w:rFonts w:ascii="Arial" w:hAnsi="Arial"/>
          <w:color w:val="FF0000"/>
        </w:rPr>
        <w:t>在</w:t>
      </w:r>
      <w:r>
        <w:rPr>
          <w:rFonts w:hint="eastAsia" w:ascii="Arial" w:hAnsi="Arial"/>
          <w:color w:val="FF0000"/>
        </w:rPr>
        <w:t>使用投标书编制软件编制投标文件时</w:t>
      </w:r>
      <w:r>
        <w:rPr>
          <w:rFonts w:ascii="Arial" w:hAnsi="Arial"/>
          <w:color w:val="FF0000"/>
        </w:rPr>
        <w:t>，</w:t>
      </w:r>
      <w:r>
        <w:rPr>
          <w:rFonts w:hint="eastAsia" w:ascii="Arial" w:hAnsi="Arial"/>
          <w:color w:val="FF0000"/>
        </w:rPr>
        <w:t>信息公开部分必须编制于“投标书目录（公开部分）”，非信息公开部分编制于“投标书附件（不公开部分）”，如下图所示：</w:t>
      </w:r>
    </w:p>
    <w:p w14:paraId="15F18FE1">
      <w:pPr>
        <w:spacing w:line="360" w:lineRule="auto"/>
        <w:rPr>
          <w:rFonts w:ascii="宋体" w:hAnsi="宋体" w:eastAsia="黑体"/>
          <w:bCs/>
          <w:kern w:val="44"/>
          <w:sz w:val="32"/>
          <w:szCs w:val="32"/>
        </w:rPr>
      </w:pPr>
    </w:p>
    <w:p w14:paraId="1466FEFB">
      <w:pPr>
        <w:spacing w:line="360" w:lineRule="auto"/>
        <w:rPr>
          <w:rFonts w:ascii="宋体" w:hAnsi="宋体" w:eastAsia="黑体"/>
          <w:bCs/>
          <w:kern w:val="44"/>
          <w:sz w:val="32"/>
          <w:szCs w:val="32"/>
        </w:rPr>
      </w:pPr>
      <w:bookmarkStart w:id="9" w:name="_Hlk72257771"/>
      <w:r>
        <w:rPr>
          <w:rFonts w:hint="eastAsia" w:ascii="宋体" w:hAnsi="宋体" w:eastAsia="黑体"/>
          <w:bCs/>
          <w:kern w:val="44"/>
          <w:sz w:val="32"/>
          <w:szCs w:val="32"/>
        </w:rPr>
        <w:t>投标文件组成：</w:t>
      </w:r>
    </w:p>
    <w:p w14:paraId="0BD5C357">
      <w:pPr>
        <w:snapToGrid w:val="0"/>
        <w:spacing w:line="360" w:lineRule="auto"/>
        <w:rPr>
          <w:rFonts w:ascii="Arial" w:hAnsi="Arial" w:eastAsia="宋体" w:cs="Arial"/>
          <w:b/>
          <w:sz w:val="32"/>
          <w:szCs w:val="32"/>
        </w:rPr>
      </w:pPr>
      <w:r>
        <w:rPr>
          <w:rFonts w:hint="eastAsia" w:ascii="宋体" w:hAnsi="宋体" w:eastAsia="宋体" w:cs="宋体"/>
          <w:b/>
          <w:sz w:val="32"/>
          <w:szCs w:val="32"/>
        </w:rPr>
        <w:t>投标文件正文（信息公开部分）：</w:t>
      </w:r>
    </w:p>
    <w:p w14:paraId="459641D1">
      <w:pPr>
        <w:numPr>
          <w:ilvl w:val="0"/>
          <w:numId w:val="2"/>
        </w:numPr>
        <w:snapToGrid w:val="0"/>
        <w:spacing w:after="60" w:afterLines="25" w:line="360" w:lineRule="auto"/>
        <w:rPr>
          <w:rFonts w:ascii="宋体" w:hAnsi="宋体" w:eastAsia="宋体"/>
          <w:sz w:val="30"/>
          <w:szCs w:val="30"/>
        </w:rPr>
      </w:pPr>
      <w:r>
        <w:rPr>
          <w:rFonts w:hint="eastAsia" w:ascii="宋体" w:hAnsi="宋体" w:eastAsia="宋体"/>
          <w:sz w:val="30"/>
          <w:szCs w:val="30"/>
        </w:rPr>
        <w:t>投标函；</w:t>
      </w:r>
    </w:p>
    <w:p w14:paraId="3EE23028">
      <w:pPr>
        <w:numPr>
          <w:ilvl w:val="0"/>
          <w:numId w:val="2"/>
        </w:numPr>
        <w:snapToGrid w:val="0"/>
        <w:spacing w:after="60" w:afterLines="25" w:line="360" w:lineRule="auto"/>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14:paraId="517A2C05">
      <w:pPr>
        <w:numPr>
          <w:ilvl w:val="0"/>
          <w:numId w:val="2"/>
        </w:numPr>
        <w:snapToGrid w:val="0"/>
        <w:spacing w:after="60" w:afterLines="25" w:line="360" w:lineRule="auto"/>
        <w:rPr>
          <w:rFonts w:ascii="宋体" w:hAnsi="宋体" w:eastAsia="宋体"/>
          <w:sz w:val="30"/>
          <w:szCs w:val="30"/>
        </w:rPr>
      </w:pPr>
      <w:r>
        <w:rPr>
          <w:rFonts w:hint="eastAsia" w:ascii="宋体" w:hAnsi="宋体" w:eastAsia="宋体"/>
          <w:sz w:val="30"/>
          <w:szCs w:val="30"/>
        </w:rPr>
        <w:t>营业执照或事业单位法人证书等；</w:t>
      </w:r>
    </w:p>
    <w:p w14:paraId="0E67BFC8">
      <w:pPr>
        <w:numPr>
          <w:ilvl w:val="0"/>
          <w:numId w:val="2"/>
        </w:numPr>
        <w:snapToGrid w:val="0"/>
        <w:spacing w:after="60" w:afterLines="25" w:line="360" w:lineRule="auto"/>
        <w:rPr>
          <w:rFonts w:ascii="宋体" w:hAnsi="宋体" w:eastAsia="宋体"/>
          <w:sz w:val="30"/>
          <w:szCs w:val="30"/>
        </w:rPr>
      </w:pPr>
      <w:r>
        <w:rPr>
          <w:rFonts w:hint="eastAsia" w:ascii="宋体" w:hAnsi="宋体" w:eastAsia="宋体"/>
          <w:sz w:val="30"/>
          <w:szCs w:val="30"/>
        </w:rPr>
        <w:t>评标优惠政策声明函；</w:t>
      </w:r>
    </w:p>
    <w:p w14:paraId="400EA515">
      <w:pPr>
        <w:snapToGrid w:val="0"/>
        <w:spacing w:line="360" w:lineRule="auto"/>
        <w:rPr>
          <w:rFonts w:ascii="宋体" w:hAnsi="宋体" w:eastAsia="宋体" w:cs="宋体"/>
          <w:b/>
          <w:sz w:val="32"/>
          <w:szCs w:val="32"/>
        </w:rPr>
      </w:pPr>
      <w:r>
        <w:rPr>
          <w:rFonts w:hint="eastAsia" w:ascii="宋体" w:hAnsi="宋体" w:eastAsia="宋体" w:cs="宋体"/>
          <w:b/>
          <w:sz w:val="32"/>
          <w:szCs w:val="32"/>
        </w:rPr>
        <w:t>投标文件附件（信息不公开部分）：</w:t>
      </w:r>
    </w:p>
    <w:p w14:paraId="35036CE5">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法定代表人证明书</w:t>
      </w:r>
      <w:r>
        <w:rPr>
          <w:rFonts w:hint="eastAsia" w:ascii="Arial" w:hAnsi="Arial" w:eastAsia="宋体" w:cs="Arial"/>
          <w:sz w:val="30"/>
          <w:szCs w:val="30"/>
        </w:rPr>
        <w:t>（</w:t>
      </w:r>
      <w:r>
        <w:rPr>
          <w:rFonts w:hint="eastAsia" w:ascii="Arial" w:hAnsi="Arial" w:eastAsia="宋体" w:cs="Arial"/>
          <w:bCs/>
          <w:sz w:val="30"/>
          <w:szCs w:val="30"/>
        </w:rPr>
        <w:t>附有效身份证正反面扫描件</w:t>
      </w:r>
      <w:r>
        <w:rPr>
          <w:rFonts w:hint="eastAsia" w:ascii="Arial" w:hAnsi="Arial" w:eastAsia="宋体" w:cs="Arial"/>
          <w:sz w:val="30"/>
          <w:szCs w:val="30"/>
        </w:rPr>
        <w:t>）；</w:t>
      </w:r>
    </w:p>
    <w:p w14:paraId="4A21E49F">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投标文件签署授权委托书（附有效身份证正反面扫描件）；</w:t>
      </w:r>
    </w:p>
    <w:p w14:paraId="29BB688F">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商务（服务）条款偏离表</w:t>
      </w:r>
    </w:p>
    <w:p w14:paraId="6E24E9BA">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项目总体概述及理解；</w:t>
      </w:r>
    </w:p>
    <w:p w14:paraId="1BC06B37">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施工组织计划、施工技术、施工工艺及相关的合理施工方案；</w:t>
      </w:r>
    </w:p>
    <w:p w14:paraId="68B14E8B">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施工质量（安全、环保、工期及售后服务等）保障措施及相关的违约承诺；</w:t>
      </w:r>
    </w:p>
    <w:p w14:paraId="559464BB">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项目实施关键施工技术（重点难点）分析及解决方案；</w:t>
      </w:r>
    </w:p>
    <w:p w14:paraId="3E2EAB04">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拟采用设备（材料）的性能（节能环保情况）、档次及质量可靠性；</w:t>
      </w:r>
    </w:p>
    <w:p w14:paraId="0B1F077A">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应急响应及服务承诺及维护保养方案；</w:t>
      </w:r>
    </w:p>
    <w:p w14:paraId="23936DFF">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同类业绩；</w:t>
      </w:r>
    </w:p>
    <w:p w14:paraId="40425C7F">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履约评价；</w:t>
      </w:r>
      <w:r>
        <w:rPr>
          <w:rFonts w:ascii="宋体" w:hAnsi="宋体" w:eastAsia="宋体"/>
          <w:sz w:val="30"/>
          <w:szCs w:val="30"/>
        </w:rPr>
        <w:t xml:space="preserve"> </w:t>
      </w:r>
    </w:p>
    <w:p w14:paraId="479714D0">
      <w:pPr>
        <w:numPr>
          <w:ilvl w:val="0"/>
          <w:numId w:val="3"/>
        </w:numPr>
        <w:snapToGrid w:val="0"/>
        <w:spacing w:after="60" w:afterLines="25" w:line="360" w:lineRule="auto"/>
        <w:rPr>
          <w:rFonts w:ascii="宋体" w:hAnsi="宋体" w:eastAsia="宋体"/>
          <w:sz w:val="30"/>
          <w:szCs w:val="30"/>
        </w:rPr>
      </w:pPr>
      <w:r>
        <w:rPr>
          <w:rFonts w:hint="eastAsia" w:ascii="宋体" w:hAnsi="宋体" w:eastAsia="宋体"/>
          <w:sz w:val="30"/>
          <w:szCs w:val="30"/>
        </w:rPr>
        <w:t>其他招标文件要求或投标人认为需要补充的内容。</w:t>
      </w:r>
    </w:p>
    <w:p w14:paraId="385142C6">
      <w:pPr>
        <w:snapToGrid w:val="0"/>
        <w:spacing w:after="60" w:afterLines="25" w:line="360" w:lineRule="auto"/>
        <w:ind w:firstLine="482" w:firstLineChars="200"/>
        <w:rPr>
          <w:rFonts w:ascii="宋体" w:hAnsi="宋体" w:eastAsia="宋体" w:cs="宋体"/>
          <w:b/>
          <w:color w:val="FF0000"/>
          <w:sz w:val="32"/>
          <w:szCs w:val="32"/>
        </w:rPr>
      </w:pPr>
      <w:bookmarkStart w:id="11" w:name="_Hlk72263559"/>
      <w:r>
        <w:rPr>
          <w:rFonts w:hint="eastAsia" w:ascii="宋体" w:hAnsi="宋体"/>
          <w:b/>
        </w:rPr>
        <w:t>关于填写“开标一览表”的说明：“开标一览表”中除“投标总价”外，其他信息不作评审依据。</w:t>
      </w:r>
      <w:bookmarkEnd w:id="9"/>
      <w:bookmarkEnd w:id="11"/>
      <w:r>
        <w:br w:type="page"/>
      </w:r>
      <w:r>
        <w:rPr>
          <w:rFonts w:hint="eastAsia" w:ascii="宋体" w:hAnsi="宋体" w:eastAsia="宋体" w:cs="宋体"/>
          <w:b/>
          <w:color w:val="FF0000"/>
          <w:sz w:val="32"/>
          <w:szCs w:val="32"/>
        </w:rPr>
        <w:t>（一）投标文件正文（信息公开部分）</w:t>
      </w:r>
    </w:p>
    <w:p w14:paraId="11EC1B71">
      <w:pPr>
        <w:pStyle w:val="34"/>
        <w:rPr>
          <w:szCs w:val="20"/>
        </w:rPr>
      </w:pPr>
      <w:r>
        <w:rPr>
          <w:szCs w:val="20"/>
        </w:rPr>
        <w:t>1.投标</w:t>
      </w:r>
      <w:r>
        <w:rPr>
          <w:rFonts w:hint="eastAsia"/>
          <w:szCs w:val="20"/>
        </w:rPr>
        <w:t>函</w:t>
      </w:r>
    </w:p>
    <w:p w14:paraId="47298C69">
      <w:pPr>
        <w:snapToGrid w:val="0"/>
        <w:spacing w:line="360" w:lineRule="auto"/>
        <w:rPr>
          <w:rFonts w:ascii="Arial" w:hAnsi="Arial" w:eastAsia="宋体"/>
        </w:rPr>
      </w:pPr>
    </w:p>
    <w:p w14:paraId="11FEB20A">
      <w:pPr>
        <w:snapToGrid w:val="0"/>
        <w:spacing w:line="360" w:lineRule="auto"/>
        <w:rPr>
          <w:rFonts w:ascii="Arial" w:hAnsi="Arial" w:eastAsia="宋体" w:cs="Arial"/>
          <w:u w:val="single"/>
        </w:rPr>
      </w:pPr>
      <w:r>
        <w:rPr>
          <w:rFonts w:ascii="Arial" w:hAnsi="Arial" w:eastAsia="宋体" w:cs="Arial"/>
        </w:rPr>
        <w:t>致：</w:t>
      </w:r>
      <w:r>
        <w:rPr>
          <w:rFonts w:hint="eastAsia" w:ascii="Arial" w:hAnsi="Arial" w:eastAsia="宋体" w:cs="Arial"/>
          <w:u w:val="single"/>
          <w:lang w:eastAsia="zh-CN"/>
        </w:rPr>
        <w:t>深圳市福田区风湿病专科医院</w:t>
      </w:r>
    </w:p>
    <w:p w14:paraId="75F3F80A">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项目名称为</w:t>
      </w:r>
      <w:r>
        <w:rPr>
          <w:rFonts w:hint="eastAsia" w:ascii="Arial" w:hAnsi="Arial" w:eastAsia="宋体" w:cs="Arial"/>
          <w:u w:val="single"/>
          <w:lang w:eastAsia="zh-CN"/>
        </w:rPr>
        <w:t>深圳市福田区风湿病专科医院</w:t>
      </w:r>
      <w:r>
        <w:rPr>
          <w:rFonts w:hint="eastAsia" w:ascii="Arial" w:hAnsi="Arial" w:eastAsia="宋体" w:cs="Arial"/>
          <w:u w:val="single"/>
        </w:rPr>
        <w:t>零星修缮工程服务项目</w:t>
      </w:r>
      <w:r>
        <w:rPr>
          <w:rFonts w:hint="eastAsia" w:ascii="Arial" w:hAnsi="Arial" w:eastAsia="宋体" w:cs="Arial"/>
        </w:rPr>
        <w:t>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535C709D">
      <w:pPr>
        <w:numPr>
          <w:ilvl w:val="0"/>
          <w:numId w:val="4"/>
        </w:numPr>
        <w:tabs>
          <w:tab w:val="left" w:pos="426"/>
        </w:tabs>
        <w:snapToGrid w:val="0"/>
        <w:spacing w:after="60" w:afterLines="25" w:line="360" w:lineRule="auto"/>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357930EF">
      <w:pPr>
        <w:numPr>
          <w:ilvl w:val="0"/>
          <w:numId w:val="4"/>
        </w:numPr>
        <w:tabs>
          <w:tab w:val="left" w:pos="426"/>
        </w:tabs>
        <w:snapToGrid w:val="0"/>
        <w:spacing w:after="60" w:afterLines="25" w:line="360" w:lineRule="auto"/>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599BD1A0">
      <w:pPr>
        <w:numPr>
          <w:ilvl w:val="0"/>
          <w:numId w:val="4"/>
        </w:numPr>
        <w:tabs>
          <w:tab w:val="left" w:pos="426"/>
        </w:tabs>
        <w:snapToGrid w:val="0"/>
        <w:spacing w:after="60" w:afterLines="25" w:line="360" w:lineRule="auto"/>
        <w:rPr>
          <w:rFonts w:ascii="Arial" w:hAnsi="Arial" w:eastAsia="宋体" w:cs="Arial"/>
        </w:rPr>
      </w:pPr>
      <w:r>
        <w:rPr>
          <w:rFonts w:ascii="Arial" w:hAnsi="Arial" w:eastAsia="宋体" w:cs="Arial"/>
        </w:rPr>
        <w:t>本投标有效期为开标日起</w:t>
      </w:r>
      <w:r>
        <w:rPr>
          <w:rFonts w:hint="eastAsia" w:ascii="Arial" w:hAnsi="Arial" w:eastAsia="宋体" w:cs="Arial"/>
          <w:bCs/>
        </w:rPr>
        <w:t>__</w:t>
      </w:r>
      <w:r>
        <w:rPr>
          <w:rFonts w:hint="eastAsia" w:ascii="Arial" w:hAnsi="Arial" w:eastAsia="宋体" w:cs="Arial"/>
          <w:bCs/>
          <w:u w:val="single"/>
        </w:rPr>
        <w:t>120</w:t>
      </w:r>
      <w:r>
        <w:rPr>
          <w:rFonts w:hint="eastAsia" w:ascii="Arial" w:hAnsi="Arial" w:eastAsia="宋体" w:cs="Arial"/>
          <w:bCs/>
        </w:rPr>
        <w:t>__</w:t>
      </w:r>
      <w:r>
        <w:rPr>
          <w:rFonts w:ascii="Arial" w:hAnsi="Arial" w:eastAsia="宋体" w:cs="Arial"/>
        </w:rPr>
        <w:t>个日历日。</w:t>
      </w:r>
    </w:p>
    <w:p w14:paraId="094B1A1D">
      <w:pPr>
        <w:numPr>
          <w:ilvl w:val="0"/>
          <w:numId w:val="4"/>
        </w:numPr>
        <w:tabs>
          <w:tab w:val="left" w:pos="426"/>
        </w:tabs>
        <w:snapToGrid w:val="0"/>
        <w:spacing w:after="60" w:afterLines="25" w:line="360" w:lineRule="auto"/>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38136263">
      <w:pPr>
        <w:snapToGrid w:val="0"/>
        <w:spacing w:line="360" w:lineRule="auto"/>
        <w:ind w:firstLine="560"/>
        <w:rPr>
          <w:rFonts w:ascii="Arial" w:hAnsi="Arial" w:eastAsia="宋体" w:cs="Arial"/>
        </w:rPr>
      </w:pPr>
    </w:p>
    <w:p w14:paraId="038CA44B">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5D905D6E">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0315B71A">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50145929">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2379D494">
      <w:pPr>
        <w:snapToGrid w:val="0"/>
        <w:spacing w:line="360" w:lineRule="auto"/>
        <w:rPr>
          <w:rFonts w:ascii="Arial" w:hAnsi="Arial" w:eastAsia="宋体" w:cs="Arial"/>
        </w:rPr>
      </w:pPr>
      <w:r>
        <w:rPr>
          <w:rFonts w:ascii="Arial" w:hAnsi="Arial" w:eastAsia="宋体" w:cs="Arial"/>
        </w:rPr>
        <w:t>电子</w:t>
      </w:r>
      <w:r>
        <w:rPr>
          <w:rFonts w:hint="eastAsia" w:ascii="Arial" w:hAnsi="Arial" w:eastAsia="宋体" w:cs="Arial"/>
        </w:rPr>
        <w:t>邮箱：</w:t>
      </w:r>
    </w:p>
    <w:p w14:paraId="338CB724">
      <w:pPr>
        <w:snapToGrid w:val="0"/>
        <w:spacing w:line="360" w:lineRule="auto"/>
        <w:ind w:firstLine="560"/>
        <w:rPr>
          <w:rFonts w:ascii="Arial" w:hAnsi="Arial" w:eastAsia="宋体" w:cs="Arial"/>
        </w:rPr>
      </w:pPr>
    </w:p>
    <w:p w14:paraId="2A13E27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6BC1776E">
      <w:pPr>
        <w:snapToGrid w:val="0"/>
        <w:spacing w:line="360" w:lineRule="auto"/>
        <w:rPr>
          <w:rFonts w:ascii="Arial" w:hAnsi="Arial" w:eastAsia="宋体" w:cs="Arial"/>
        </w:rPr>
      </w:pPr>
      <w:r>
        <w:rPr>
          <w:rFonts w:hint="eastAsia" w:ascii="Arial" w:hAnsi="Arial" w:eastAsia="宋体" w:cs="Arial"/>
        </w:rPr>
        <w:t>联系电话：</w:t>
      </w:r>
    </w:p>
    <w:p w14:paraId="72E427CF">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5479195F">
      <w:pPr>
        <w:snapToGrid w:val="0"/>
        <w:spacing w:line="360" w:lineRule="auto"/>
        <w:rPr>
          <w:rFonts w:ascii="Arial" w:hAnsi="Arial" w:eastAsia="宋体"/>
        </w:rPr>
      </w:pPr>
    </w:p>
    <w:p w14:paraId="1E77E264">
      <w:pPr>
        <w:spacing w:after="60" w:afterLines="25" w:line="360" w:lineRule="auto"/>
        <w:ind w:firstLine="480" w:firstLineChars="200"/>
        <w:rPr>
          <w:rFonts w:ascii="Arial" w:hAnsi="Arial" w:eastAsia="宋体"/>
        </w:rPr>
      </w:pPr>
      <w:r>
        <w:rPr>
          <w:rFonts w:hint="eastAsia" w:ascii="Arial" w:hAnsi="Arial" w:eastAsia="宋体" w:cs="Arial"/>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p>
    <w:p w14:paraId="234D2575">
      <w:pPr>
        <w:pStyle w:val="34"/>
        <w:rPr>
          <w:szCs w:val="20"/>
        </w:rPr>
      </w:pPr>
      <w:r>
        <w:br w:type="page"/>
      </w:r>
      <w:r>
        <w:rPr>
          <w:rFonts w:hint="eastAsia"/>
          <w:szCs w:val="20"/>
        </w:rPr>
        <w:t>2.政府采购投标及履约承诺函</w:t>
      </w:r>
    </w:p>
    <w:p w14:paraId="4D9BE22A">
      <w:pPr>
        <w:snapToGrid w:val="0"/>
        <w:spacing w:line="360" w:lineRule="auto"/>
        <w:rPr>
          <w:rFonts w:ascii="Arial" w:hAnsi="Arial" w:eastAsia="宋体"/>
        </w:rPr>
      </w:pPr>
    </w:p>
    <w:p w14:paraId="422D9E00">
      <w:pPr>
        <w:adjustRightInd w:val="0"/>
        <w:snapToGrid w:val="0"/>
        <w:spacing w:line="360" w:lineRule="auto"/>
        <w:rPr>
          <w:rFonts w:ascii="宋体" w:hAnsi="宋体" w:eastAsia="宋体"/>
        </w:rPr>
      </w:pPr>
      <w:r>
        <w:rPr>
          <w:rFonts w:hint="eastAsia" w:ascii="宋体" w:hAnsi="宋体" w:eastAsia="宋体"/>
        </w:rPr>
        <w:t>致：</w:t>
      </w:r>
      <w:r>
        <w:rPr>
          <w:rFonts w:hint="eastAsia" w:ascii="Arial" w:hAnsi="Arial" w:eastAsia="宋体" w:cs="Arial"/>
          <w:u w:val="single"/>
          <w:lang w:eastAsia="zh-CN"/>
        </w:rPr>
        <w:t>深圳市福田区风湿病专科医院</w:t>
      </w:r>
    </w:p>
    <w:p w14:paraId="03ABFA68">
      <w:pPr>
        <w:spacing w:line="360" w:lineRule="auto"/>
        <w:ind w:right="-815" w:firstLine="480" w:firstLineChars="200"/>
        <w:rPr>
          <w:rFonts w:ascii="宋体" w:hAnsi="宋体"/>
          <w:szCs w:val="21"/>
        </w:rPr>
      </w:pPr>
      <w:r>
        <w:rPr>
          <w:rFonts w:hint="eastAsia" w:ascii="宋体" w:hAnsi="宋体"/>
          <w:szCs w:val="21"/>
        </w:rPr>
        <w:t>我单位承诺：</w:t>
      </w:r>
    </w:p>
    <w:p w14:paraId="38AC70C2">
      <w:pPr>
        <w:spacing w:line="360" w:lineRule="auto"/>
        <w:ind w:firstLine="480" w:firstLineChars="200"/>
        <w:rPr>
          <w:rFonts w:ascii="宋体" w:hAnsi="宋体"/>
          <w:szCs w:val="21"/>
        </w:rPr>
      </w:pPr>
      <w:r>
        <w:rPr>
          <w:rFonts w:hint="eastAsia" w:ascii="宋体" w:hAnsi="宋体"/>
          <w:szCs w:val="21"/>
        </w:rPr>
        <w:t>1.我单位本招标项目所提供的货物或服务未侵犯知识产权。</w:t>
      </w:r>
    </w:p>
    <w:p w14:paraId="3DCA0E83">
      <w:pPr>
        <w:spacing w:line="360" w:lineRule="auto"/>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219E44F2">
      <w:pPr>
        <w:spacing w:line="360" w:lineRule="auto"/>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4FE7DBAB">
      <w:pPr>
        <w:spacing w:line="360" w:lineRule="auto"/>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06E080BE">
      <w:pPr>
        <w:spacing w:line="360" w:lineRule="auto"/>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7C0CB06">
      <w:pPr>
        <w:spacing w:line="360" w:lineRule="auto"/>
        <w:ind w:firstLine="480" w:firstLineChars="200"/>
        <w:rPr>
          <w:rFonts w:ascii="宋体" w:hAnsi="宋体"/>
          <w:szCs w:val="21"/>
        </w:rPr>
      </w:pPr>
      <w:r>
        <w:rPr>
          <w:rFonts w:hint="eastAsia" w:ascii="宋体" w:hAnsi="宋体"/>
          <w:szCs w:val="21"/>
        </w:rPr>
        <w:t>6.</w:t>
      </w:r>
      <w:bookmarkStart w:id="12" w:name="_Hlk72587269"/>
      <w:bookmarkStart w:id="13"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2"/>
      <w:r>
        <w:rPr>
          <w:rFonts w:hint="eastAsia" w:ascii="宋体" w:hAnsi="宋体"/>
          <w:szCs w:val="21"/>
        </w:rPr>
        <w:t>。</w:t>
      </w:r>
      <w:bookmarkEnd w:id="13"/>
    </w:p>
    <w:p w14:paraId="05B57EF4">
      <w:pPr>
        <w:spacing w:line="360" w:lineRule="auto"/>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E25A284">
      <w:pPr>
        <w:spacing w:line="360" w:lineRule="auto"/>
        <w:ind w:firstLine="480" w:firstLineChars="200"/>
        <w:rPr>
          <w:rFonts w:ascii="宋体" w:hAnsi="宋体"/>
          <w:szCs w:val="21"/>
        </w:rPr>
      </w:pPr>
      <w:r>
        <w:rPr>
          <w:rFonts w:hint="eastAsia" w:ascii="宋体" w:hAnsi="宋体"/>
          <w:szCs w:val="21"/>
        </w:rPr>
        <w:t>8.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7893A91">
      <w:pPr>
        <w:spacing w:line="360" w:lineRule="auto"/>
        <w:ind w:firstLine="48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005F369">
      <w:pPr>
        <w:spacing w:line="360" w:lineRule="auto"/>
        <w:ind w:firstLine="480" w:firstLineChars="200"/>
        <w:rPr>
          <w:rFonts w:ascii="宋体" w:hAnsi="宋体"/>
          <w:szCs w:val="21"/>
        </w:rPr>
      </w:pPr>
      <w:r>
        <w:rPr>
          <w:rFonts w:hint="eastAsia" w:ascii="宋体" w:hAnsi="宋体"/>
          <w:szCs w:val="21"/>
        </w:rPr>
        <w:t>10.我单位承诺中标后项目不转包，未经采购人同意不进行分包。</w:t>
      </w:r>
    </w:p>
    <w:p w14:paraId="14B9C1B4">
      <w:pPr>
        <w:spacing w:line="360" w:lineRule="auto"/>
        <w:ind w:firstLine="480" w:firstLineChars="200"/>
        <w:rPr>
          <w:rFonts w:ascii="宋体" w:hAnsi="宋体"/>
        </w:rPr>
      </w:pPr>
      <w:r>
        <w:rPr>
          <w:rFonts w:hint="eastAsia" w:ascii="宋体" w:hAnsi="宋体"/>
          <w:szCs w:val="21"/>
        </w:rPr>
        <w:t>11</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00570DA">
      <w:pPr>
        <w:spacing w:line="360" w:lineRule="auto"/>
        <w:ind w:firstLine="480" w:firstLineChars="200"/>
        <w:rPr>
          <w:rFonts w:ascii="宋体" w:hAnsi="宋体"/>
        </w:rPr>
      </w:pPr>
      <w:r>
        <w:rPr>
          <w:rFonts w:hint="eastAsia" w:ascii="宋体" w:hAnsi="宋体"/>
        </w:rPr>
        <w:t>12</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1BF93B0">
      <w:pPr>
        <w:spacing w:line="360" w:lineRule="auto"/>
        <w:ind w:firstLine="480" w:firstLineChars="200"/>
        <w:rPr>
          <w:bCs/>
        </w:rPr>
      </w:pPr>
      <w:r>
        <w:rPr>
          <w:rFonts w:hint="eastAsia" w:ascii="宋体" w:hAnsi="宋体"/>
        </w:rPr>
        <w:t>13.我单位清楚：</w:t>
      </w:r>
      <w:r>
        <w:rPr>
          <w:rFonts w:hint="eastAsia"/>
          <w:bCs/>
        </w:rPr>
        <w:t>投标人为本项目提供整体设计、规范编制或者管理、监理、检测等服务的，不得再参与此次采购项目的投标；依据《中华人民共和国政府采购法实施条例》第十八条规定，单位负责人为同一人或者存在直接控股、管理关系的不同供应商，不得参加同一合同项下的政府采购活动。</w:t>
      </w:r>
    </w:p>
    <w:p w14:paraId="4A0A83DE">
      <w:pPr>
        <w:spacing w:line="360" w:lineRule="auto"/>
        <w:ind w:firstLine="480" w:firstLineChars="200"/>
        <w:rPr>
          <w:rFonts w:ascii="宋体" w:hAnsi="宋体"/>
        </w:rPr>
      </w:pPr>
      <w:r>
        <w:rPr>
          <w:rFonts w:hint="eastAsia" w:ascii="宋体" w:hAnsi="宋体"/>
        </w:rPr>
        <w:t>14.不存在《深圳市财政局政府采购供应商信用信息管理办法》（深财规〔2023〕3 号）列明的严重违法失信行为。</w:t>
      </w:r>
    </w:p>
    <w:p w14:paraId="3153FF0F">
      <w:pPr>
        <w:snapToGrid w:val="0"/>
        <w:spacing w:line="360" w:lineRule="auto"/>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11D2DAD2">
      <w:pPr>
        <w:snapToGrid w:val="0"/>
        <w:spacing w:line="360" w:lineRule="auto"/>
        <w:ind w:firstLine="480" w:firstLineChars="200"/>
        <w:rPr>
          <w:rFonts w:ascii="宋体" w:hAnsi="宋体" w:eastAsia="宋体"/>
        </w:rPr>
      </w:pPr>
    </w:p>
    <w:p w14:paraId="431FAF7A">
      <w:pPr>
        <w:snapToGrid w:val="0"/>
        <w:spacing w:line="360" w:lineRule="auto"/>
        <w:ind w:firstLine="480" w:firstLineChars="200"/>
        <w:rPr>
          <w:rFonts w:ascii="宋体" w:hAnsi="宋体" w:eastAsia="宋体"/>
        </w:rPr>
      </w:pPr>
    </w:p>
    <w:p w14:paraId="3BFA713D">
      <w:pPr>
        <w:snapToGrid w:val="0"/>
        <w:spacing w:line="360" w:lineRule="auto"/>
        <w:ind w:right="420"/>
        <w:rPr>
          <w:rFonts w:ascii="宋体" w:hAnsi="宋体" w:eastAsia="宋体"/>
        </w:rPr>
      </w:pPr>
      <w:r>
        <w:rPr>
          <w:rFonts w:hint="eastAsia" w:ascii="宋体" w:hAnsi="宋体" w:eastAsia="宋体"/>
        </w:rPr>
        <w:t xml:space="preserve">                        投标单位（投标人）名称：</w:t>
      </w:r>
    </w:p>
    <w:p w14:paraId="493B7305">
      <w:pPr>
        <w:snapToGrid w:val="0"/>
        <w:spacing w:line="360" w:lineRule="auto"/>
        <w:ind w:right="450" w:firstLine="480" w:firstLineChars="200"/>
        <w:jc w:val="right"/>
        <w:rPr>
          <w:rFonts w:ascii="宋体" w:hAnsi="宋体" w:eastAsia="宋体"/>
        </w:rPr>
      </w:pPr>
      <w:r>
        <w:rPr>
          <w:rFonts w:hint="eastAsia" w:ascii="宋体" w:hAnsi="宋体" w:eastAsia="宋体"/>
        </w:rPr>
        <w:t>年月日</w:t>
      </w:r>
    </w:p>
    <w:p w14:paraId="43EF6896">
      <w:pPr>
        <w:snapToGrid w:val="0"/>
        <w:spacing w:line="360" w:lineRule="auto"/>
        <w:ind w:right="450" w:firstLine="480" w:firstLineChars="200"/>
        <w:jc w:val="right"/>
        <w:rPr>
          <w:rFonts w:ascii="仿宋" w:hAnsi="仿宋" w:eastAsia="仿宋"/>
        </w:rPr>
      </w:pPr>
    </w:p>
    <w:p w14:paraId="19ED7ADB">
      <w:pPr>
        <w:snapToGrid w:val="0"/>
        <w:spacing w:line="360" w:lineRule="auto"/>
        <w:ind w:right="450" w:firstLine="480" w:firstLineChars="200"/>
        <w:jc w:val="right"/>
        <w:rPr>
          <w:rFonts w:ascii="仿宋" w:hAnsi="仿宋" w:eastAsia="仿宋"/>
        </w:rPr>
      </w:pPr>
    </w:p>
    <w:p w14:paraId="5C7735B0">
      <w:pPr>
        <w:snapToGrid w:val="0"/>
        <w:spacing w:line="360" w:lineRule="auto"/>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511ED4BB">
      <w:pPr>
        <w:pStyle w:val="34"/>
        <w:rPr>
          <w:rFonts w:ascii="宋体" w:hAnsi="宋体"/>
          <w:sz w:val="30"/>
          <w:szCs w:val="30"/>
        </w:rPr>
      </w:pPr>
      <w:r>
        <w:br w:type="page"/>
      </w:r>
      <w:r>
        <w:rPr>
          <w:rFonts w:hint="eastAsia"/>
        </w:rPr>
        <w:t>3.</w:t>
      </w:r>
      <w:r>
        <w:rPr>
          <w:rFonts w:hint="eastAsia" w:ascii="宋体" w:hAnsi="宋体"/>
          <w:sz w:val="30"/>
          <w:szCs w:val="30"/>
        </w:rPr>
        <w:t>营业执照或事业单位法人证书等</w:t>
      </w:r>
    </w:p>
    <w:p w14:paraId="17E080E4">
      <w:pPr>
        <w:jc w:val="center"/>
      </w:pPr>
      <w:r>
        <w:rPr>
          <w:rFonts w:hint="eastAsia"/>
        </w:rPr>
        <w:t>（</w:t>
      </w:r>
      <w:r>
        <w:rPr>
          <w:rFonts w:hint="eastAsia" w:ascii="Arial" w:hAnsi="Arial" w:eastAsia="宋体"/>
          <w:b/>
          <w:bCs/>
          <w:szCs w:val="21"/>
        </w:rPr>
        <w:t>根据招标公告申请人的资格要求提供证明材料。）</w:t>
      </w:r>
    </w:p>
    <w:p w14:paraId="10593CC2">
      <w:pPr>
        <w:rPr>
          <w:rFonts w:ascii="Cambria" w:hAnsi="Cambria" w:eastAsia="宋体"/>
          <w:b/>
          <w:bCs/>
          <w:kern w:val="28"/>
          <w:sz w:val="32"/>
          <w:szCs w:val="20"/>
        </w:rPr>
      </w:pPr>
      <w:r>
        <w:rPr>
          <w:szCs w:val="20"/>
        </w:rPr>
        <w:br w:type="page"/>
      </w:r>
    </w:p>
    <w:p w14:paraId="3F216AE5">
      <w:pPr>
        <w:pStyle w:val="34"/>
      </w:pPr>
      <w:r>
        <w:rPr>
          <w:rFonts w:hint="eastAsia"/>
        </w:rPr>
        <w:t>4.评标优惠政策声明函</w:t>
      </w:r>
    </w:p>
    <w:p w14:paraId="6B648F36">
      <w:pPr>
        <w:snapToGrid w:val="0"/>
        <w:spacing w:line="360" w:lineRule="auto"/>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7CA8757E">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bCs/>
          <w:color w:val="FF0000"/>
          <w:sz w:val="25"/>
          <w:szCs w:val="25"/>
          <w:highlight w:val="yellow"/>
        </w:rPr>
        <w:t>本项目属于专门向中小微企业采购的项目，投标人必须填写及提供《中小企业声明函》，未按要求提供或声明函为大型企业的，将作投标无效处理</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7E416">
      <w:pPr>
        <w:snapToGrid w:val="0"/>
        <w:spacing w:line="360" w:lineRule="auto"/>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26B330A">
      <w:pPr>
        <w:snapToGrid w:val="0"/>
        <w:spacing w:line="360" w:lineRule="auto"/>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)《政府采购促进中小企业发展管理办法》（财库〔2020〕46号），链接：</w:t>
      </w:r>
      <w:r>
        <w:fldChar w:fldCharType="begin"/>
      </w:r>
      <w:r>
        <w:instrText xml:space="preserve"> HYPERLINK "http://www.ccgp.gov.cn/news/202012/t20201229_15715888.htm" </w:instrText>
      </w:r>
      <w:r>
        <w:fldChar w:fldCharType="separate"/>
      </w:r>
      <w:r>
        <w:rPr>
          <w:rFonts w:ascii="仿宋" w:hAnsi="仿宋" w:eastAsia="仿宋"/>
          <w:color w:val="0000FF" w:themeColor="hyperlink"/>
          <w:sz w:val="25"/>
          <w:u w:val="single"/>
          <w14:textFill>
            <w14:solidFill>
              <w14:schemeClr w14:val="hlink"/>
            </w14:solidFill>
          </w14:textFill>
        </w:rPr>
        <w:t>www.ccgp.gov.cn/news/202012/t20201229_15715888.htm</w:t>
      </w:r>
      <w:r>
        <w:fldChar w:fldCharType="end"/>
      </w:r>
    </w:p>
    <w:p w14:paraId="3E5DF90D">
      <w:pPr>
        <w:snapToGrid w:val="0"/>
        <w:spacing w:line="360" w:lineRule="auto"/>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4" w:name="_Hlk71925120"/>
      <w:r>
        <w:rPr>
          <w:rFonts w:hint="eastAsia" w:ascii="仿宋" w:hAnsi="仿宋" w:eastAsia="仿宋"/>
          <w:color w:val="FF0000"/>
          <w:sz w:val="25"/>
          <w:szCs w:val="25"/>
        </w:rPr>
        <w:t>《关于印发中小企业划型标准规定的通知》（工信部联企业〔2011〕300 号</w:t>
      </w:r>
      <w:bookmarkEnd w:id="14"/>
      <w:r>
        <w:rPr>
          <w:rFonts w:hint="eastAsia" w:ascii="仿宋" w:hAnsi="仿宋" w:eastAsia="仿宋"/>
          <w:color w:val="FF0000"/>
          <w:sz w:val="25"/>
          <w:szCs w:val="25"/>
        </w:rPr>
        <w:t>），链接：</w:t>
      </w:r>
      <w:r>
        <w:fldChar w:fldCharType="begin"/>
      </w:r>
      <w:r>
        <w:instrText xml:space="preserve"> HYPERLINK "http://www.gov.cn/zwgk/2011-07/04/content_1898747.htm" </w:instrText>
      </w:r>
      <w:r>
        <w:fldChar w:fldCharType="separate"/>
      </w:r>
      <w:r>
        <w:rPr>
          <w:rFonts w:ascii="仿宋" w:hAnsi="仿宋" w:eastAsia="仿宋"/>
          <w:color w:val="0000FF" w:themeColor="hyperlink"/>
          <w:sz w:val="25"/>
          <w:u w:val="single"/>
          <w14:textFill>
            <w14:solidFill>
              <w14:schemeClr w14:val="hlink"/>
            </w14:solidFill>
          </w14:textFill>
        </w:rPr>
        <w:t>www.gov.cn/zwgk/2011-07/04/content_1898747.htm</w:t>
      </w:r>
      <w:r>
        <w:fldChar w:fldCharType="end"/>
      </w:r>
    </w:p>
    <w:p w14:paraId="1FDF6043">
      <w:pPr>
        <w:snapToGrid w:val="0"/>
        <w:spacing w:line="360" w:lineRule="auto"/>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ascii="仿宋" w:hAnsi="仿宋" w:eastAsia="仿宋"/>
          <w:color w:val="0000FF" w:themeColor="hyperlink"/>
          <w:sz w:val="25"/>
          <w:u w:val="single"/>
          <w14:textFill>
            <w14:solidFill>
              <w14:schemeClr w14:val="hlink"/>
            </w14:solidFill>
          </w14:textFill>
        </w:rPr>
        <w:t>www.stats.gov.cn/tjsj/tjbz/201801/t20180103_1569357.html</w:t>
      </w:r>
      <w:r>
        <w:fldChar w:fldCharType="end"/>
      </w:r>
    </w:p>
    <w:p w14:paraId="305B4A84">
      <w:pPr>
        <w:snapToGrid w:val="0"/>
        <w:spacing w:line="360" w:lineRule="auto"/>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ascii="仿宋" w:hAnsi="仿宋" w:eastAsia="仿宋"/>
          <w:color w:val="0000FF" w:themeColor="hyperlink"/>
          <w:sz w:val="25"/>
          <w:u w:val="single"/>
          <w14:textFill>
            <w14:solidFill>
              <w14:schemeClr w14:val="hlink"/>
            </w14:solidFill>
          </w14:textFill>
        </w:rPr>
        <w:t>www.ccgp.gov.cn/zcfg/mof/201709/t20170904_8787205.shtml</w:t>
      </w:r>
      <w:r>
        <w:fldChar w:fldCharType="end"/>
      </w:r>
    </w:p>
    <w:p w14:paraId="7903A13E">
      <w:pPr>
        <w:snapToGrid w:val="0"/>
        <w:spacing w:line="360" w:lineRule="auto"/>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ascii="仿宋" w:hAnsi="仿宋" w:eastAsia="仿宋"/>
          <w:color w:val="0000FF" w:themeColor="hyperlink"/>
          <w:sz w:val="25"/>
          <w:u w:val="single"/>
          <w14:textFill>
            <w14:solidFill>
              <w14:schemeClr w14:val="hlink"/>
            </w14:solidFill>
          </w14:textFill>
        </w:rPr>
        <w:t>www.ccgp.gov.cn/zcfg/mof/201406/t20140616_4619272.htm</w:t>
      </w:r>
      <w:r>
        <w:fldChar w:fldCharType="end"/>
      </w:r>
    </w:p>
    <w:p w14:paraId="4B5EB216">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3、请依照招标文件提供的格式和内容填写声明函，不要随意变更格式；声明函不需要盖章或签字；满足多项优惠政策的投标人，不重复享受多项价格扣除政策。</w:t>
      </w:r>
    </w:p>
    <w:p w14:paraId="4B6EA637">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14:paraId="1B739FB1">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14:paraId="149FA303">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第一处，在“单位名称”下划线处如实填写采购人名称（招标代理机构不是本项目的采购人，而是组织实施机构）；</w:t>
      </w:r>
    </w:p>
    <w:p w14:paraId="199DB4B9">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14:paraId="172FFE33">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w:t>
      </w:r>
      <w:r>
        <w:rPr>
          <w:rFonts w:hint="eastAsia" w:ascii="仿宋" w:hAnsi="仿宋" w:eastAsia="仿宋"/>
          <w:b/>
          <w:bCs/>
          <w:color w:val="0070C0"/>
          <w:sz w:val="25"/>
          <w:szCs w:val="25"/>
        </w:rPr>
        <w:t>（详见第三章用户需求书）</w:t>
      </w:r>
      <w:r>
        <w:rPr>
          <w:rFonts w:hint="eastAsia" w:ascii="仿宋" w:hAnsi="仿宋" w:eastAsia="仿宋"/>
          <w:color w:val="FF0000"/>
          <w:sz w:val="25"/>
          <w:szCs w:val="25"/>
        </w:rPr>
        <w:t>；如果涉及多项标的（货物或服务）为同一企业制造或承接，“标的名称”下划线处可以如实填写多项标的名称；</w:t>
      </w:r>
    </w:p>
    <w:p w14:paraId="12E9DB10">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r>
        <w:rPr>
          <w:rFonts w:hint="eastAsia" w:ascii="仿宋" w:hAnsi="仿宋" w:eastAsia="仿宋"/>
          <w:b/>
          <w:bCs/>
          <w:color w:val="0070C0"/>
          <w:sz w:val="25"/>
          <w:szCs w:val="25"/>
        </w:rPr>
        <w:t>（详见第三章用户需求书）</w:t>
      </w:r>
      <w:r>
        <w:rPr>
          <w:rFonts w:hint="eastAsia" w:ascii="仿宋" w:hAnsi="仿宋" w:eastAsia="仿宋"/>
          <w:color w:val="FF0000"/>
          <w:sz w:val="25"/>
          <w:szCs w:val="25"/>
        </w:rPr>
        <w:t>；</w:t>
      </w:r>
    </w:p>
    <w:p w14:paraId="50DEB561">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5A99E57E">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14:paraId="640C22C2">
      <w:pPr>
        <w:snapToGrid w:val="0"/>
        <w:spacing w:line="360" w:lineRule="auto"/>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14:paraId="53C8D58F">
      <w:pPr>
        <w:snapToGrid w:val="0"/>
        <w:spacing w:line="360" w:lineRule="auto"/>
        <w:rPr>
          <w:rFonts w:ascii="仿宋" w:hAnsi="仿宋" w:eastAsia="仿宋"/>
          <w:b/>
          <w:color w:val="FF0000"/>
          <w:sz w:val="25"/>
          <w:szCs w:val="25"/>
        </w:rPr>
      </w:pPr>
      <w:r>
        <w:rPr>
          <w:rFonts w:hint="eastAsia" w:ascii="仿宋" w:hAnsi="仿宋" w:eastAsia="仿宋"/>
          <w:b/>
          <w:color w:val="FF0000"/>
          <w:sz w:val="25"/>
          <w:szCs w:val="25"/>
        </w:rPr>
        <w:t xml:space="preserve">    5、声明函的有效性最终由评审委员会判定。</w:t>
      </w:r>
    </w:p>
    <w:p w14:paraId="3B9BBCA5">
      <w:pPr>
        <w:spacing w:line="360" w:lineRule="auto"/>
        <w:jc w:val="center"/>
        <w:outlineLvl w:val="4"/>
        <w:rPr>
          <w:rFonts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中小企业声明函（服务）</w:t>
      </w:r>
    </w:p>
    <w:p w14:paraId="73F03D29">
      <w:pPr>
        <w:spacing w:after="60" w:afterLines="25" w:line="360" w:lineRule="auto"/>
        <w:ind w:firstLine="480" w:firstLineChars="200"/>
        <w:rPr>
          <w:rFonts w:ascii="宋体" w:hAnsi="宋体" w:eastAsia="宋体"/>
          <w:szCs w:val="21"/>
        </w:rPr>
      </w:pPr>
      <w:r>
        <w:rPr>
          <w:rFonts w:ascii="宋体" w:hAnsi="宋体" w:eastAsia="宋体"/>
          <w:szCs w:val="21"/>
        </w:rPr>
        <w:t>本</w:t>
      </w:r>
      <w:r>
        <w:rPr>
          <w:rFonts w:hint="eastAsia" w:ascii="宋体" w:hAnsi="宋体" w:eastAsia="宋体"/>
          <w:szCs w:val="21"/>
        </w:rPr>
        <w:t>投标人</w:t>
      </w:r>
      <w:r>
        <w:rPr>
          <w:rFonts w:ascii="宋体" w:hAnsi="宋体" w:eastAsia="宋体"/>
          <w:szCs w:val="21"/>
        </w:rPr>
        <w:t>郑重声明，根据《政府采购促进中小企业发展管理办法》（财库</w:t>
      </w:r>
      <w:r>
        <w:rPr>
          <w:rFonts w:hint="eastAsia" w:ascii="宋体" w:hAnsi="宋体" w:eastAsia="宋体"/>
          <w:szCs w:val="21"/>
        </w:rPr>
        <w:t>﹝</w:t>
      </w:r>
      <w:r>
        <w:rPr>
          <w:rFonts w:ascii="宋体" w:hAnsi="宋体" w:eastAsia="宋体"/>
          <w:szCs w:val="21"/>
        </w:rPr>
        <w:t>2020</w:t>
      </w:r>
      <w:r>
        <w:rPr>
          <w:rFonts w:hint="eastAsia" w:ascii="宋体" w:hAnsi="宋体" w:eastAsia="宋体"/>
          <w:szCs w:val="21"/>
        </w:rPr>
        <w:t>﹞</w:t>
      </w:r>
      <w:r>
        <w:rPr>
          <w:rFonts w:ascii="宋体" w:hAnsi="宋体" w:eastAsia="宋体"/>
          <w:szCs w:val="21"/>
        </w:rPr>
        <w:t>46 号）的规定，本</w:t>
      </w:r>
      <w:r>
        <w:rPr>
          <w:rFonts w:hint="eastAsia" w:ascii="宋体" w:hAnsi="宋体" w:eastAsia="宋体"/>
          <w:szCs w:val="21"/>
        </w:rPr>
        <w:t>投标人</w:t>
      </w:r>
      <w:r>
        <w:rPr>
          <w:rFonts w:ascii="宋体" w:hAnsi="宋体" w:eastAsia="宋体"/>
          <w:szCs w:val="21"/>
        </w:rPr>
        <w:t>参加</w:t>
      </w:r>
      <w:r>
        <w:rPr>
          <w:rFonts w:ascii="宋体" w:hAnsi="宋体" w:eastAsia="宋体"/>
          <w:b/>
          <w:bCs/>
          <w:szCs w:val="21"/>
          <w:u w:val="single"/>
        </w:rPr>
        <w:t>（</w:t>
      </w:r>
      <w:r>
        <w:rPr>
          <w:rFonts w:hint="eastAsia" w:ascii="宋体" w:hAnsi="宋体" w:eastAsia="宋体"/>
          <w:b/>
          <w:bCs/>
          <w:szCs w:val="21"/>
          <w:u w:val="single"/>
        </w:rPr>
        <w:t>采购人</w:t>
      </w:r>
      <w:r>
        <w:rPr>
          <w:rFonts w:ascii="宋体" w:hAnsi="宋体" w:eastAsia="宋体"/>
          <w:b/>
          <w:bCs/>
          <w:szCs w:val="21"/>
          <w:u w:val="single"/>
        </w:rPr>
        <w:t>名称）</w:t>
      </w:r>
      <w:r>
        <w:rPr>
          <w:rFonts w:ascii="宋体" w:hAnsi="宋体" w:eastAsia="宋体"/>
          <w:szCs w:val="21"/>
        </w:rPr>
        <w:t>的</w:t>
      </w:r>
      <w:r>
        <w:rPr>
          <w:rFonts w:ascii="宋体" w:hAnsi="宋体" w:eastAsia="宋体"/>
          <w:b/>
          <w:bCs/>
          <w:szCs w:val="21"/>
          <w:u w:val="single"/>
        </w:rPr>
        <w:t>（项目名称）</w:t>
      </w:r>
      <w:r>
        <w:rPr>
          <w:rFonts w:ascii="宋体" w:hAnsi="宋体" w:eastAsia="宋体"/>
          <w:szCs w:val="21"/>
        </w:rPr>
        <w:t>采购活动，</w:t>
      </w:r>
      <w:r>
        <w:rPr>
          <w:rFonts w:hint="eastAsia" w:ascii="宋体" w:hAnsi="宋体" w:eastAsia="宋体"/>
          <w:szCs w:val="21"/>
        </w:rPr>
        <w:t>服务</w:t>
      </w:r>
      <w:r>
        <w:rPr>
          <w:rFonts w:ascii="宋体" w:hAnsi="宋体" w:eastAsia="宋体"/>
          <w:szCs w:val="21"/>
        </w:rPr>
        <w:t>全部由符合政策要求的中小企业</w:t>
      </w:r>
      <w:r>
        <w:rPr>
          <w:rFonts w:hint="eastAsia" w:ascii="宋体" w:hAnsi="宋体" w:eastAsia="宋体"/>
          <w:szCs w:val="21"/>
        </w:rPr>
        <w:t>承接</w:t>
      </w:r>
      <w:r>
        <w:rPr>
          <w:rFonts w:ascii="宋体" w:hAnsi="宋体" w:eastAsia="宋体"/>
          <w:szCs w:val="21"/>
        </w:rPr>
        <w:t>。相关企业的具体情况如下：</w:t>
      </w:r>
    </w:p>
    <w:p w14:paraId="24C1A780">
      <w:pPr>
        <w:spacing w:after="60" w:afterLines="25" w:line="360" w:lineRule="auto"/>
        <w:ind w:firstLine="480" w:firstLineChars="200"/>
        <w:rPr>
          <w:rFonts w:ascii="宋体" w:hAnsi="宋体" w:eastAsia="宋体"/>
          <w:szCs w:val="21"/>
        </w:rPr>
      </w:pPr>
      <w:r>
        <w:rPr>
          <w:rFonts w:ascii="宋体" w:hAnsi="宋体" w:eastAsia="宋体"/>
          <w:szCs w:val="21"/>
        </w:rPr>
        <w:t>1.</w:t>
      </w:r>
      <w:r>
        <w:rPr>
          <w:rFonts w:ascii="宋体" w:hAnsi="宋体" w:eastAsia="宋体"/>
          <w:b/>
          <w:bCs/>
          <w:szCs w:val="21"/>
          <w:u w:val="single"/>
        </w:rPr>
        <w:t xml:space="preserve"> （标的名称）</w:t>
      </w:r>
      <w:r>
        <w:rPr>
          <w:rFonts w:ascii="宋体" w:hAnsi="宋体" w:eastAsia="宋体"/>
          <w:szCs w:val="21"/>
        </w:rPr>
        <w:t xml:space="preserve"> ，属于</w:t>
      </w:r>
      <w:r>
        <w:rPr>
          <w:rFonts w:ascii="宋体" w:hAnsi="宋体" w:eastAsia="宋体"/>
          <w:b/>
          <w:bCs/>
          <w:szCs w:val="21"/>
          <w:u w:val="single"/>
        </w:rPr>
        <w:t>（</w:t>
      </w:r>
      <w:r>
        <w:rPr>
          <w:rFonts w:hint="eastAsia" w:ascii="宋体" w:hAnsi="宋体" w:eastAsia="宋体"/>
          <w:b/>
          <w:bCs/>
          <w:szCs w:val="21"/>
          <w:u w:val="single"/>
        </w:rPr>
        <w:t>招标</w:t>
      </w:r>
      <w:r>
        <w:rPr>
          <w:rFonts w:ascii="宋体" w:hAnsi="宋体" w:eastAsia="宋体"/>
          <w:b/>
          <w:bCs/>
          <w:szCs w:val="21"/>
          <w:u w:val="single"/>
        </w:rPr>
        <w:t xml:space="preserve">文件中明确的所属行业） </w:t>
      </w:r>
      <w:r>
        <w:rPr>
          <w:rFonts w:ascii="宋体" w:hAnsi="宋体" w:eastAsia="宋体"/>
          <w:szCs w:val="21"/>
        </w:rPr>
        <w:t>行业；</w:t>
      </w:r>
      <w:r>
        <w:rPr>
          <w:rFonts w:hint="eastAsia" w:ascii="宋体" w:hAnsi="宋体" w:eastAsia="宋体"/>
          <w:szCs w:val="21"/>
        </w:rPr>
        <w:t>承接企业</w:t>
      </w:r>
      <w:r>
        <w:rPr>
          <w:rFonts w:ascii="宋体" w:hAnsi="宋体" w:eastAsia="宋体"/>
          <w:szCs w:val="21"/>
        </w:rPr>
        <w:t>为</w:t>
      </w:r>
      <w:r>
        <w:rPr>
          <w:rFonts w:ascii="宋体" w:hAnsi="宋体" w:eastAsia="宋体"/>
          <w:b/>
          <w:bCs/>
          <w:szCs w:val="21"/>
          <w:u w:val="single"/>
        </w:rPr>
        <w:t>（企业名称）</w:t>
      </w:r>
      <w:r>
        <w:rPr>
          <w:rFonts w:ascii="宋体" w:hAnsi="宋体" w:eastAsia="宋体"/>
          <w:szCs w:val="21"/>
        </w:rPr>
        <w:t>，从业人员</w:t>
      </w:r>
      <w:r>
        <w:rPr>
          <w:rFonts w:hint="eastAsia" w:ascii="宋体" w:hAnsi="宋体" w:eastAsia="宋体"/>
          <w:szCs w:val="21"/>
          <w:u w:val="single"/>
        </w:rPr>
        <w:t xml:space="preserve">    </w:t>
      </w:r>
      <w:r>
        <w:rPr>
          <w:rFonts w:ascii="宋体" w:hAnsi="宋体" w:eastAsia="宋体"/>
          <w:szCs w:val="21"/>
        </w:rPr>
        <w:t>人，营业收入为</w:t>
      </w:r>
      <w:r>
        <w:rPr>
          <w:rFonts w:hint="eastAsia" w:ascii="宋体" w:hAnsi="宋体" w:eastAsia="宋体"/>
          <w:szCs w:val="21"/>
          <w:u w:val="single"/>
        </w:rPr>
        <w:t xml:space="preserve">    </w:t>
      </w:r>
      <w:r>
        <w:rPr>
          <w:rFonts w:ascii="宋体" w:hAnsi="宋体" w:eastAsia="宋体"/>
          <w:szCs w:val="21"/>
        </w:rPr>
        <w:t>万元，资产总额为</w:t>
      </w:r>
      <w:r>
        <w:rPr>
          <w:rFonts w:hint="eastAsia" w:ascii="宋体" w:hAnsi="宋体" w:eastAsia="宋体"/>
          <w:szCs w:val="21"/>
          <w:u w:val="single"/>
        </w:rPr>
        <w:t xml:space="preserve">    </w:t>
      </w:r>
      <w:r>
        <w:rPr>
          <w:rFonts w:ascii="宋体" w:hAnsi="宋体" w:eastAsia="宋体"/>
          <w:szCs w:val="21"/>
        </w:rPr>
        <w:t>万元 ，属于</w:t>
      </w:r>
      <w:r>
        <w:rPr>
          <w:rFonts w:ascii="宋体" w:hAnsi="宋体" w:eastAsia="宋体"/>
          <w:b/>
          <w:bCs/>
          <w:szCs w:val="21"/>
          <w:u w:val="single"/>
        </w:rPr>
        <w:t>（中型企业、小型企业、微型企业）</w:t>
      </w:r>
      <w:r>
        <w:rPr>
          <w:rFonts w:ascii="宋体" w:hAnsi="宋体" w:eastAsia="宋体"/>
          <w:szCs w:val="21"/>
        </w:rPr>
        <w:t xml:space="preserve">； </w:t>
      </w:r>
    </w:p>
    <w:p w14:paraId="2DA6D068">
      <w:pPr>
        <w:spacing w:after="60" w:afterLines="25" w:line="360" w:lineRule="auto"/>
        <w:ind w:firstLine="480" w:firstLineChars="200"/>
        <w:rPr>
          <w:rFonts w:ascii="宋体" w:hAnsi="宋体" w:eastAsia="宋体"/>
          <w:szCs w:val="21"/>
          <w:u w:val="single"/>
        </w:rPr>
      </w:pPr>
      <w:r>
        <w:rPr>
          <w:rFonts w:ascii="宋体" w:hAnsi="宋体" w:eastAsia="宋体"/>
          <w:szCs w:val="21"/>
        </w:rPr>
        <w:t>2.</w:t>
      </w:r>
      <w:r>
        <w:rPr>
          <w:rFonts w:ascii="宋体" w:hAnsi="宋体" w:eastAsia="宋体"/>
          <w:b/>
          <w:bCs/>
          <w:szCs w:val="21"/>
          <w:u w:val="single"/>
        </w:rPr>
        <w:t xml:space="preserve"> （标的名称）</w:t>
      </w:r>
      <w:r>
        <w:rPr>
          <w:rFonts w:ascii="宋体" w:hAnsi="宋体" w:eastAsia="宋体"/>
          <w:szCs w:val="21"/>
        </w:rPr>
        <w:t xml:space="preserve"> ，属于</w:t>
      </w:r>
      <w:r>
        <w:rPr>
          <w:rFonts w:ascii="宋体" w:hAnsi="宋体" w:eastAsia="宋体"/>
          <w:b/>
          <w:bCs/>
          <w:szCs w:val="21"/>
          <w:u w:val="single"/>
        </w:rPr>
        <w:t>（</w:t>
      </w:r>
      <w:r>
        <w:rPr>
          <w:rFonts w:hint="eastAsia" w:ascii="宋体" w:hAnsi="宋体" w:eastAsia="宋体"/>
          <w:b/>
          <w:bCs/>
          <w:szCs w:val="21"/>
          <w:u w:val="single"/>
        </w:rPr>
        <w:t>招标</w:t>
      </w:r>
      <w:r>
        <w:rPr>
          <w:rFonts w:ascii="宋体" w:hAnsi="宋体" w:eastAsia="宋体"/>
          <w:b/>
          <w:bCs/>
          <w:szCs w:val="21"/>
          <w:u w:val="single"/>
        </w:rPr>
        <w:t xml:space="preserve">文件中明确的所属行业） </w:t>
      </w:r>
      <w:r>
        <w:rPr>
          <w:rFonts w:ascii="宋体" w:hAnsi="宋体" w:eastAsia="宋体"/>
          <w:szCs w:val="21"/>
        </w:rPr>
        <w:t>行业；</w:t>
      </w:r>
      <w:r>
        <w:rPr>
          <w:rFonts w:hint="eastAsia" w:ascii="宋体" w:hAnsi="宋体" w:eastAsia="宋体"/>
          <w:szCs w:val="21"/>
        </w:rPr>
        <w:t>承接企业</w:t>
      </w:r>
      <w:r>
        <w:rPr>
          <w:rFonts w:ascii="宋体" w:hAnsi="宋体" w:eastAsia="宋体"/>
          <w:szCs w:val="21"/>
        </w:rPr>
        <w:t>为</w:t>
      </w:r>
      <w:r>
        <w:rPr>
          <w:rFonts w:ascii="宋体" w:hAnsi="宋体" w:eastAsia="宋体"/>
          <w:b/>
          <w:bCs/>
          <w:szCs w:val="21"/>
          <w:u w:val="single"/>
        </w:rPr>
        <w:t>（企业名称）</w:t>
      </w:r>
      <w:r>
        <w:rPr>
          <w:rFonts w:ascii="宋体" w:hAnsi="宋体" w:eastAsia="宋体"/>
          <w:szCs w:val="21"/>
        </w:rPr>
        <w:t>，从业人员人，营业收入为万元，资产总额为万元 ，属于</w:t>
      </w:r>
      <w:r>
        <w:rPr>
          <w:rFonts w:ascii="宋体" w:hAnsi="宋体" w:eastAsia="宋体"/>
          <w:b/>
          <w:bCs/>
          <w:szCs w:val="21"/>
          <w:u w:val="single"/>
        </w:rPr>
        <w:t>（中型企业、小型企业、微型企业）</w:t>
      </w:r>
      <w:r>
        <w:rPr>
          <w:rFonts w:hint="eastAsia" w:ascii="宋体" w:hAnsi="宋体" w:eastAsia="宋体"/>
          <w:szCs w:val="21"/>
        </w:rPr>
        <w:t>；</w:t>
      </w:r>
    </w:p>
    <w:p w14:paraId="65F871AC">
      <w:pPr>
        <w:spacing w:after="60" w:afterLines="25" w:line="360" w:lineRule="auto"/>
        <w:ind w:firstLine="480" w:firstLineChars="200"/>
        <w:rPr>
          <w:rFonts w:ascii="宋体" w:hAnsi="宋体" w:eastAsia="宋体"/>
          <w:szCs w:val="21"/>
        </w:rPr>
      </w:pPr>
      <w:r>
        <w:rPr>
          <w:rFonts w:ascii="宋体" w:hAnsi="宋体" w:eastAsia="宋体"/>
          <w:szCs w:val="21"/>
        </w:rPr>
        <w:t xml:space="preserve">…… </w:t>
      </w:r>
    </w:p>
    <w:p w14:paraId="1507A5ED">
      <w:pPr>
        <w:spacing w:after="60" w:afterLines="25" w:line="360" w:lineRule="auto"/>
        <w:ind w:firstLine="480" w:firstLineChars="200"/>
        <w:rPr>
          <w:rFonts w:ascii="宋体" w:hAnsi="宋体" w:eastAsia="宋体"/>
          <w:szCs w:val="21"/>
        </w:rPr>
      </w:pPr>
      <w:r>
        <w:rPr>
          <w:rFonts w:ascii="宋体" w:hAnsi="宋体" w:eastAsia="宋体"/>
          <w:szCs w:val="21"/>
        </w:rPr>
        <w:t>以上企业，不属于大企业的分支机构，不存在控股股东为大企业的情形，也不存在与大企业的负责人为同一人的情形。</w:t>
      </w:r>
    </w:p>
    <w:p w14:paraId="5BC5D74A">
      <w:pPr>
        <w:spacing w:after="60" w:afterLines="25" w:line="360" w:lineRule="auto"/>
        <w:ind w:firstLine="480" w:firstLineChars="200"/>
        <w:rPr>
          <w:rFonts w:ascii="宋体" w:hAnsi="宋体" w:eastAsia="宋体"/>
          <w:szCs w:val="21"/>
        </w:rPr>
      </w:pPr>
      <w:bookmarkStart w:id="15" w:name="_Hlk73562275"/>
      <w:r>
        <w:rPr>
          <w:rFonts w:hint="eastAsia" w:ascii="宋体" w:hAnsi="宋体" w:eastAsia="宋体"/>
          <w:szCs w:val="21"/>
        </w:rPr>
        <w:t>本</w:t>
      </w:r>
      <w:r>
        <w:rPr>
          <w:rFonts w:ascii="宋体" w:hAnsi="宋体" w:eastAsia="宋体"/>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宋体" w:hAnsi="宋体" w:eastAsia="宋体"/>
          <w:szCs w:val="21"/>
        </w:rPr>
        <w:t>投标人</w:t>
      </w:r>
      <w:r>
        <w:rPr>
          <w:rFonts w:ascii="宋体" w:hAnsi="宋体" w:eastAsia="宋体"/>
          <w:szCs w:val="21"/>
        </w:rPr>
        <w:t>按照本办法规定提供声明函内容不实的，属于提供虚假材料谋取中标，依照《政府采购法》等政府采购有关法律法规规定追究相应责任</w:t>
      </w:r>
      <w:r>
        <w:rPr>
          <w:rFonts w:hint="eastAsia" w:ascii="宋体" w:hAnsi="宋体" w:eastAsia="宋体"/>
          <w:szCs w:val="21"/>
        </w:rPr>
        <w:t>。</w:t>
      </w:r>
      <w:bookmarkEnd w:id="15"/>
    </w:p>
    <w:p w14:paraId="5E25E321">
      <w:pPr>
        <w:spacing w:after="60" w:afterLines="25" w:line="360" w:lineRule="auto"/>
        <w:ind w:firstLine="480" w:firstLineChars="200"/>
        <w:jc w:val="center"/>
        <w:rPr>
          <w:rFonts w:ascii="宋体" w:hAnsi="宋体" w:eastAsia="宋体"/>
          <w:szCs w:val="21"/>
        </w:rPr>
      </w:pPr>
    </w:p>
    <w:p w14:paraId="1DB35DED">
      <w:pPr>
        <w:spacing w:after="60" w:afterLines="25" w:line="360" w:lineRule="auto"/>
        <w:ind w:firstLine="480" w:firstLineChars="200"/>
        <w:jc w:val="right"/>
        <w:rPr>
          <w:rFonts w:ascii="宋体" w:hAnsi="宋体" w:eastAsia="宋体"/>
          <w:szCs w:val="21"/>
        </w:rPr>
      </w:pPr>
      <w:r>
        <w:rPr>
          <w:rFonts w:hint="eastAsia" w:ascii="宋体" w:hAnsi="宋体" w:eastAsia="宋体"/>
          <w:szCs w:val="21"/>
        </w:rPr>
        <w:t xml:space="preserve">     投标人（投标单位）：       </w:t>
      </w:r>
    </w:p>
    <w:p w14:paraId="53B2CC53">
      <w:pPr>
        <w:spacing w:after="60" w:afterLines="25" w:line="360" w:lineRule="auto"/>
        <w:ind w:firstLine="480" w:firstLineChars="200"/>
        <w:jc w:val="right"/>
        <w:rPr>
          <w:rFonts w:ascii="宋体" w:hAnsi="宋体" w:eastAsia="宋体"/>
          <w:szCs w:val="21"/>
        </w:rPr>
      </w:pPr>
      <w:r>
        <w:rPr>
          <w:rFonts w:hint="eastAsia" w:ascii="宋体" w:hAnsi="宋体" w:eastAsia="宋体"/>
          <w:szCs w:val="21"/>
        </w:rPr>
        <w:t xml:space="preserve">日期：       </w:t>
      </w:r>
    </w:p>
    <w:p w14:paraId="5CB8B2C7">
      <w:pPr>
        <w:spacing w:after="60" w:afterLines="25" w:line="360" w:lineRule="auto"/>
        <w:ind w:firstLine="482" w:firstLineChars="200"/>
        <w:jc w:val="center"/>
        <w:rPr>
          <w:rFonts w:ascii="Arial" w:hAnsi="Arial" w:eastAsia="宋体"/>
          <w:b/>
        </w:rPr>
      </w:pPr>
    </w:p>
    <w:p w14:paraId="5BE12B6E">
      <w:pPr>
        <w:spacing w:after="60" w:afterLines="25" w:line="360" w:lineRule="auto"/>
        <w:ind w:firstLine="482" w:firstLineChars="200"/>
        <w:rPr>
          <w:rFonts w:ascii="Arial" w:hAnsi="Arial" w:eastAsia="宋体"/>
          <w:b/>
        </w:rPr>
      </w:pPr>
    </w:p>
    <w:p w14:paraId="6A882CB3">
      <w:pPr>
        <w:spacing w:after="60" w:afterLines="25" w:line="360" w:lineRule="auto"/>
        <w:ind w:firstLine="482" w:firstLineChars="200"/>
        <w:rPr>
          <w:rFonts w:ascii="宋体" w:hAnsi="宋体" w:eastAsia="宋体"/>
          <w:color w:val="FF0000"/>
          <w:szCs w:val="21"/>
          <w:highlight w:val="yellow"/>
        </w:rPr>
      </w:pPr>
      <w:r>
        <w:rPr>
          <w:rFonts w:hint="eastAsia" w:ascii="Arial" w:hAnsi="Arial"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4AC0C91C">
      <w:pPr>
        <w:spacing w:after="60" w:afterLines="25" w:line="360" w:lineRule="auto"/>
        <w:ind w:firstLine="480" w:firstLineChars="200"/>
        <w:rPr>
          <w:rFonts w:ascii="宋体" w:hAnsi="宋体" w:eastAsia="宋体"/>
          <w:color w:val="FF0000"/>
          <w:szCs w:val="21"/>
          <w:highlight w:val="yellow"/>
        </w:rPr>
      </w:pPr>
    </w:p>
    <w:p w14:paraId="78C7C7B3">
      <w:pPr>
        <w:spacing w:after="60" w:afterLines="25" w:line="360" w:lineRule="auto"/>
        <w:jc w:val="center"/>
        <w:outlineLvl w:val="4"/>
        <w:rPr>
          <w:rFonts w:ascii="Arial" w:hAnsi="Arial" w:eastAsia="宋体"/>
          <w:b/>
        </w:rPr>
      </w:pPr>
      <w:r>
        <w:br w:type="page"/>
      </w:r>
      <w:r>
        <w:rPr>
          <w:rFonts w:hint="eastAsia" w:ascii="宋体" w:hAnsi="宋体" w:eastAsia="宋体"/>
          <w:b/>
        </w:rPr>
        <w:t>②残疾人福利性单位声明函（服务）</w:t>
      </w:r>
    </w:p>
    <w:p w14:paraId="583770D7">
      <w:pPr>
        <w:spacing w:after="60" w:afterLines="25" w:line="360" w:lineRule="auto"/>
        <w:ind w:firstLine="480" w:firstLineChars="200"/>
        <w:rPr>
          <w:rFonts w:asciiTheme="minorEastAsia" w:hAnsiTheme="minorEastAsia"/>
          <w:szCs w:val="21"/>
        </w:rPr>
      </w:pPr>
      <w:r>
        <w:rPr>
          <w:rFonts w:asciiTheme="minorEastAsia" w:hAnsiTheme="minorEastAsia"/>
          <w:szCs w:val="21"/>
        </w:rPr>
        <w:t>本</w:t>
      </w:r>
      <w:r>
        <w:rPr>
          <w:rFonts w:hint="eastAsia" w:asciiTheme="minorEastAsia" w:hAnsiTheme="minorEastAsia"/>
          <w:szCs w:val="21"/>
        </w:rPr>
        <w:t>投标人郑重声明，根据《财政部民政部中国残疾人联合会关于促进残疾人就业政府采购政策的通知》（财库〔</w:t>
      </w:r>
      <w:r>
        <w:rPr>
          <w:rFonts w:asciiTheme="minorEastAsia" w:hAnsiTheme="minorEastAsia"/>
          <w:szCs w:val="21"/>
        </w:rPr>
        <w:t>2017</w:t>
      </w:r>
      <w:r>
        <w:rPr>
          <w:rFonts w:hint="eastAsia" w:asciiTheme="minorEastAsia" w:hAnsiTheme="minorEastAsia"/>
          <w:szCs w:val="21"/>
        </w:rPr>
        <w:t>〕</w:t>
      </w:r>
      <w:r>
        <w:rPr>
          <w:rFonts w:asciiTheme="minorEastAsia" w:hAnsiTheme="minorEastAsia"/>
          <w:szCs w:val="21"/>
        </w:rPr>
        <w:t xml:space="preserve">141 </w:t>
      </w:r>
      <w:r>
        <w:rPr>
          <w:rFonts w:hint="eastAsia" w:asciiTheme="minorEastAsia" w:hAnsiTheme="minorEastAsia"/>
          <w:szCs w:val="21"/>
        </w:rPr>
        <w:t>号）的规定，本投标人</w:t>
      </w:r>
      <w:r>
        <w:rPr>
          <w:rFonts w:asciiTheme="minorEastAsia" w:hAnsiTheme="minorEastAsia"/>
          <w:szCs w:val="21"/>
        </w:rPr>
        <w:t>参加</w:t>
      </w:r>
      <w:r>
        <w:rPr>
          <w:rFonts w:asciiTheme="minorEastAsia" w:hAnsiTheme="minorEastAsia"/>
          <w:b/>
          <w:bCs/>
          <w:szCs w:val="21"/>
          <w:u w:val="single"/>
        </w:rPr>
        <w:t>（</w:t>
      </w:r>
      <w:r>
        <w:rPr>
          <w:rFonts w:hint="eastAsia" w:asciiTheme="minorEastAsia" w:hAnsiTheme="minorEastAsia"/>
          <w:b/>
          <w:bCs/>
          <w:szCs w:val="21"/>
          <w:u w:val="single"/>
        </w:rPr>
        <w:t>采购人</w:t>
      </w:r>
      <w:r>
        <w:rPr>
          <w:rFonts w:asciiTheme="minorEastAsia" w:hAnsiTheme="minorEastAsia"/>
          <w:b/>
          <w:bCs/>
          <w:szCs w:val="21"/>
          <w:u w:val="single"/>
        </w:rPr>
        <w:t>名称）</w:t>
      </w:r>
      <w:r>
        <w:rPr>
          <w:rFonts w:asciiTheme="minorEastAsia" w:hAnsiTheme="minorEastAsia"/>
          <w:szCs w:val="21"/>
        </w:rPr>
        <w:t>的</w:t>
      </w:r>
      <w:r>
        <w:rPr>
          <w:rFonts w:asciiTheme="minorEastAsia" w:hAnsiTheme="minorEastAsia"/>
          <w:b/>
          <w:bCs/>
          <w:szCs w:val="21"/>
          <w:u w:val="single"/>
        </w:rPr>
        <w:t>（项目名称）</w:t>
      </w:r>
      <w:r>
        <w:rPr>
          <w:rFonts w:asciiTheme="minorEastAsia" w:hAnsiTheme="minorEastAsia"/>
          <w:szCs w:val="21"/>
        </w:rPr>
        <w:t>采购活动，</w:t>
      </w:r>
      <w:r>
        <w:rPr>
          <w:rFonts w:hint="eastAsia" w:asciiTheme="minorEastAsia" w:hAnsiTheme="minorEastAsia"/>
          <w:szCs w:val="21"/>
        </w:rPr>
        <w:t>服务</w:t>
      </w:r>
      <w:r>
        <w:rPr>
          <w:rFonts w:asciiTheme="minorEastAsia" w:hAnsiTheme="minorEastAsia"/>
          <w:szCs w:val="21"/>
        </w:rPr>
        <w:t>全部由符合政策要求的</w:t>
      </w:r>
      <w:r>
        <w:rPr>
          <w:rFonts w:hint="eastAsia" w:asciiTheme="minorEastAsia" w:hAnsiTheme="minorEastAsia"/>
          <w:szCs w:val="21"/>
        </w:rPr>
        <w:t>残疾人福利性单位承接</w:t>
      </w:r>
      <w:r>
        <w:rPr>
          <w:rFonts w:asciiTheme="minorEastAsia" w:hAnsiTheme="minorEastAsia"/>
          <w:szCs w:val="21"/>
        </w:rPr>
        <w:t>。相关</w:t>
      </w:r>
      <w:r>
        <w:rPr>
          <w:rFonts w:hint="eastAsia" w:asciiTheme="minorEastAsia" w:hAnsiTheme="minorEastAsia"/>
          <w:szCs w:val="21"/>
        </w:rPr>
        <w:t>残疾人福利性单位</w:t>
      </w:r>
      <w:r>
        <w:rPr>
          <w:rFonts w:asciiTheme="minorEastAsia" w:hAnsiTheme="minorEastAsia"/>
          <w:szCs w:val="21"/>
        </w:rPr>
        <w:t>的具体情况如下：</w:t>
      </w:r>
    </w:p>
    <w:p w14:paraId="3353F0A9">
      <w:pPr>
        <w:spacing w:after="60" w:afterLines="25" w:line="360" w:lineRule="auto"/>
        <w:ind w:firstLine="480" w:firstLineChars="200"/>
        <w:rPr>
          <w:rFonts w:asciiTheme="minorEastAsia" w:hAnsiTheme="minorEastAsia"/>
          <w:szCs w:val="21"/>
        </w:rPr>
      </w:pPr>
      <w:r>
        <w:rPr>
          <w:rFonts w:asciiTheme="minorEastAsia" w:hAnsiTheme="minorEastAsia"/>
          <w:szCs w:val="21"/>
        </w:rPr>
        <w:t>1.</w:t>
      </w:r>
      <w:r>
        <w:rPr>
          <w:rFonts w:asciiTheme="minorEastAsia" w:hAnsiTheme="minorEastAsia"/>
          <w:b/>
          <w:bCs/>
          <w:szCs w:val="21"/>
          <w:u w:val="single"/>
        </w:rPr>
        <w:t xml:space="preserve"> （标的名称）</w:t>
      </w:r>
      <w:r>
        <w:rPr>
          <w:rFonts w:hint="eastAsia" w:asciiTheme="minorEastAsia" w:hAnsiTheme="minorEastAsia"/>
          <w:szCs w:val="21"/>
        </w:rPr>
        <w:t>，承接企业</w:t>
      </w:r>
      <w:r>
        <w:rPr>
          <w:rFonts w:asciiTheme="minorEastAsia" w:hAnsiTheme="minorEastAsia"/>
          <w:szCs w:val="21"/>
        </w:rPr>
        <w:t>为</w:t>
      </w:r>
      <w:r>
        <w:rPr>
          <w:rFonts w:asciiTheme="minorEastAsia" w:hAnsiTheme="minorEastAsia"/>
          <w:b/>
          <w:bCs/>
          <w:szCs w:val="21"/>
          <w:u w:val="single"/>
        </w:rPr>
        <w:t>（</w:t>
      </w:r>
      <w:r>
        <w:rPr>
          <w:rFonts w:hint="eastAsia" w:asciiTheme="minorEastAsia" w:hAnsiTheme="minorEastAsia"/>
          <w:b/>
          <w:bCs/>
          <w:szCs w:val="21"/>
          <w:u w:val="single"/>
        </w:rPr>
        <w:t>单位</w:t>
      </w:r>
      <w:r>
        <w:rPr>
          <w:rFonts w:asciiTheme="minorEastAsia" w:hAnsiTheme="minorEastAsia"/>
          <w:b/>
          <w:bCs/>
          <w:szCs w:val="21"/>
          <w:u w:val="single"/>
        </w:rPr>
        <w:t>名称）</w:t>
      </w:r>
      <w:r>
        <w:rPr>
          <w:rFonts w:asciiTheme="minorEastAsia" w:hAnsiTheme="minorEastAsia"/>
          <w:szCs w:val="21"/>
        </w:rPr>
        <w:t>，属于</w:t>
      </w:r>
      <w:r>
        <w:rPr>
          <w:rFonts w:hint="eastAsia" w:asciiTheme="minorEastAsia" w:hAnsiTheme="minorEastAsia"/>
          <w:b/>
          <w:bCs/>
          <w:szCs w:val="21"/>
          <w:u w:val="single"/>
        </w:rPr>
        <w:t>残疾人福利性单位</w:t>
      </w:r>
      <w:r>
        <w:rPr>
          <w:rFonts w:asciiTheme="minorEastAsia" w:hAnsiTheme="minorEastAsia"/>
          <w:szCs w:val="21"/>
        </w:rPr>
        <w:t>；</w:t>
      </w:r>
    </w:p>
    <w:p w14:paraId="235D9145">
      <w:pPr>
        <w:spacing w:after="60" w:afterLines="25" w:line="360" w:lineRule="auto"/>
        <w:ind w:firstLine="480" w:firstLineChars="200"/>
        <w:rPr>
          <w:rFonts w:asciiTheme="minorEastAsia" w:hAnsiTheme="minorEastAsia"/>
          <w:szCs w:val="21"/>
        </w:rPr>
      </w:pPr>
      <w:r>
        <w:rPr>
          <w:rFonts w:asciiTheme="minorEastAsia" w:hAnsiTheme="minorEastAsia"/>
          <w:szCs w:val="21"/>
        </w:rPr>
        <w:t>2.</w:t>
      </w:r>
      <w:r>
        <w:rPr>
          <w:rFonts w:asciiTheme="minorEastAsia" w:hAnsiTheme="minorEastAsia"/>
          <w:b/>
          <w:bCs/>
          <w:szCs w:val="21"/>
          <w:u w:val="single"/>
        </w:rPr>
        <w:t xml:space="preserve"> （标的名称）</w:t>
      </w:r>
      <w:r>
        <w:rPr>
          <w:rFonts w:hint="eastAsia" w:asciiTheme="minorEastAsia" w:hAnsiTheme="minorEastAsia"/>
          <w:szCs w:val="21"/>
        </w:rPr>
        <w:t>，承接企业</w:t>
      </w:r>
      <w:r>
        <w:rPr>
          <w:rFonts w:asciiTheme="minorEastAsia" w:hAnsiTheme="minorEastAsia"/>
          <w:szCs w:val="21"/>
        </w:rPr>
        <w:t>为</w:t>
      </w:r>
      <w:r>
        <w:rPr>
          <w:rFonts w:asciiTheme="minorEastAsia" w:hAnsiTheme="minorEastAsia"/>
          <w:b/>
          <w:bCs/>
          <w:szCs w:val="21"/>
          <w:u w:val="single"/>
        </w:rPr>
        <w:t>（</w:t>
      </w:r>
      <w:r>
        <w:rPr>
          <w:rFonts w:hint="eastAsia" w:asciiTheme="minorEastAsia" w:hAnsiTheme="minorEastAsia"/>
          <w:b/>
          <w:bCs/>
          <w:szCs w:val="21"/>
          <w:u w:val="single"/>
        </w:rPr>
        <w:t>单位</w:t>
      </w:r>
      <w:r>
        <w:rPr>
          <w:rFonts w:asciiTheme="minorEastAsia" w:hAnsiTheme="minorEastAsia"/>
          <w:b/>
          <w:bCs/>
          <w:szCs w:val="21"/>
          <w:u w:val="single"/>
        </w:rPr>
        <w:t>名称）</w:t>
      </w:r>
      <w:r>
        <w:rPr>
          <w:rFonts w:asciiTheme="minorEastAsia" w:hAnsiTheme="minorEastAsia"/>
          <w:szCs w:val="21"/>
        </w:rPr>
        <w:t>，属于</w:t>
      </w:r>
      <w:r>
        <w:rPr>
          <w:rFonts w:hint="eastAsia" w:asciiTheme="minorEastAsia" w:hAnsiTheme="minorEastAsia"/>
          <w:b/>
          <w:bCs/>
          <w:szCs w:val="21"/>
          <w:u w:val="single"/>
        </w:rPr>
        <w:t>残疾人福利性单位</w:t>
      </w:r>
      <w:r>
        <w:rPr>
          <w:rFonts w:hint="eastAsia" w:asciiTheme="minorEastAsia" w:hAnsiTheme="minorEastAsia"/>
          <w:szCs w:val="21"/>
        </w:rPr>
        <w:t>。</w:t>
      </w:r>
    </w:p>
    <w:p w14:paraId="63CB8B17">
      <w:pPr>
        <w:spacing w:after="60" w:afterLines="25" w:line="360" w:lineRule="auto"/>
        <w:ind w:firstLine="480" w:firstLineChars="200"/>
        <w:rPr>
          <w:rFonts w:asciiTheme="minorEastAsia" w:hAnsiTheme="minorEastAsia"/>
          <w:szCs w:val="21"/>
        </w:rPr>
      </w:pPr>
      <w:r>
        <w:rPr>
          <w:rFonts w:asciiTheme="minorEastAsia" w:hAnsiTheme="minorEastAsia"/>
          <w:szCs w:val="21"/>
        </w:rPr>
        <w:t xml:space="preserve">…… </w:t>
      </w:r>
    </w:p>
    <w:p w14:paraId="0A0BBBCE">
      <w:pPr>
        <w:spacing w:after="60" w:afterLines="25" w:line="360" w:lineRule="auto"/>
        <w:ind w:firstLine="480" w:firstLineChars="200"/>
        <w:rPr>
          <w:rFonts w:asciiTheme="minorEastAsia" w:hAnsiTheme="minorEastAsia"/>
          <w:szCs w:val="21"/>
        </w:rPr>
      </w:pPr>
      <w:r>
        <w:rPr>
          <w:rFonts w:hint="eastAsia" w:asciiTheme="minorEastAsia" w:hAnsiTheme="minorEastAsia"/>
          <w:szCs w:val="21"/>
        </w:rPr>
        <w:t>本</w:t>
      </w:r>
      <w:r>
        <w:rPr>
          <w:rFonts w:asciiTheme="minorEastAsia" w:hAnsiTheme="minorEastAsia"/>
          <w:szCs w:val="21"/>
        </w:rPr>
        <w:t>投标人</w:t>
      </w:r>
      <w:r>
        <w:rPr>
          <w:rFonts w:hint="eastAsia" w:asciiTheme="minorEastAsia" w:hAnsiTheme="minorEastAsia"/>
          <w:szCs w:val="21"/>
        </w:rPr>
        <w:t>已</w:t>
      </w:r>
      <w:r>
        <w:rPr>
          <w:rFonts w:asciiTheme="minorEastAsia" w:hAnsiTheme="minorEastAsia"/>
          <w:szCs w:val="21"/>
        </w:rPr>
        <w:t>知悉</w:t>
      </w:r>
      <w:r>
        <w:rPr>
          <w:rFonts w:hint="eastAsia" w:asciiTheme="minorEastAsia" w:hAnsiTheme="minorEastAsia"/>
          <w:szCs w:val="21"/>
        </w:rPr>
        <w:t>《财政部民政部中国残疾人联合会关于促进残疾人就业政府采购政策的通知》（财库〔2017〕141 号）</w:t>
      </w:r>
      <w:r>
        <w:rPr>
          <w:rFonts w:asciiTheme="minorEastAsia" w:hAnsiTheme="minorEastAsia"/>
          <w:szCs w:val="21"/>
        </w:rPr>
        <w:t>的规定，承诺提供的声明函内容是真实的，如提供声明函内容不实，则依法追究相关法律责任</w:t>
      </w:r>
      <w:r>
        <w:rPr>
          <w:rFonts w:hint="eastAsia" w:asciiTheme="minorEastAsia" w:hAnsiTheme="minorEastAsia"/>
          <w:szCs w:val="21"/>
        </w:rPr>
        <w:t>。</w:t>
      </w:r>
    </w:p>
    <w:p w14:paraId="07F30EE9">
      <w:pPr>
        <w:spacing w:after="60" w:afterLines="25" w:line="360" w:lineRule="auto"/>
        <w:ind w:firstLine="480" w:firstLineChars="200"/>
        <w:jc w:val="center"/>
        <w:rPr>
          <w:rFonts w:asciiTheme="minorEastAsia" w:hAnsiTheme="minorEastAsia"/>
        </w:rPr>
      </w:pPr>
    </w:p>
    <w:p w14:paraId="495D0DDD">
      <w:pPr>
        <w:spacing w:after="60" w:afterLines="25" w:line="360" w:lineRule="auto"/>
        <w:ind w:firstLine="480" w:firstLineChars="200"/>
        <w:jc w:val="right"/>
        <w:rPr>
          <w:rFonts w:asciiTheme="minorEastAsia" w:hAnsiTheme="minorEastAsia"/>
          <w:szCs w:val="21"/>
        </w:rPr>
      </w:pPr>
      <w:r>
        <w:rPr>
          <w:rFonts w:hint="eastAsia" w:asciiTheme="minorEastAsia" w:hAnsiTheme="minorEastAsia"/>
          <w:szCs w:val="21"/>
        </w:rPr>
        <w:t xml:space="preserve">投标人（投标单位）：       </w:t>
      </w:r>
    </w:p>
    <w:p w14:paraId="3FAB9DFD">
      <w:pPr>
        <w:spacing w:after="60" w:afterLines="25" w:line="360" w:lineRule="auto"/>
        <w:ind w:firstLine="480" w:firstLineChars="200"/>
        <w:jc w:val="right"/>
        <w:rPr>
          <w:rFonts w:asciiTheme="minorEastAsia" w:hAnsiTheme="minorEastAsia"/>
          <w:szCs w:val="21"/>
        </w:rPr>
      </w:pPr>
      <w:r>
        <w:rPr>
          <w:rFonts w:hint="eastAsia" w:asciiTheme="minorEastAsia" w:hAnsiTheme="minorEastAsia"/>
          <w:szCs w:val="21"/>
        </w:rPr>
        <w:t xml:space="preserve">日期：       </w:t>
      </w:r>
    </w:p>
    <w:p w14:paraId="2BD1357B">
      <w:pPr>
        <w:spacing w:after="60" w:afterLines="25" w:line="360" w:lineRule="auto"/>
        <w:ind w:firstLine="480" w:firstLineChars="200"/>
        <w:jc w:val="center"/>
        <w:rPr>
          <w:rFonts w:asciiTheme="minorEastAsia" w:hAnsiTheme="minorEastAsia"/>
        </w:rPr>
      </w:pPr>
    </w:p>
    <w:p w14:paraId="041113DF">
      <w:pPr>
        <w:spacing w:after="60" w:afterLines="25" w:line="360" w:lineRule="auto"/>
        <w:ind w:firstLine="480" w:firstLineChars="200"/>
        <w:jc w:val="center"/>
        <w:rPr>
          <w:rFonts w:asciiTheme="minorEastAsia" w:hAnsiTheme="minorEastAsia"/>
        </w:rPr>
      </w:pPr>
    </w:p>
    <w:p w14:paraId="540906C5">
      <w:pPr>
        <w:spacing w:after="60" w:afterLines="25" w:line="36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00682BC6">
      <w:pPr>
        <w:spacing w:after="60" w:afterLines="25" w:line="36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56FBDAA0">
      <w:pPr>
        <w:spacing w:after="60" w:afterLines="25" w:line="36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2A5D270C">
      <w:pPr>
        <w:spacing w:after="60" w:afterLines="25" w:line="36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081C85E6">
      <w:pPr>
        <w:spacing w:after="60" w:afterLines="25" w:line="36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8E4D879">
      <w:pPr>
        <w:spacing w:after="60" w:afterLines="25" w:line="36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4DAC00">
      <w:pPr>
        <w:spacing w:line="360" w:lineRule="auto"/>
        <w:rPr>
          <w:rFonts w:ascii="宋体" w:hAnsi="宋体" w:eastAsia="宋体"/>
          <w:b/>
        </w:rPr>
      </w:pPr>
      <w:r>
        <w:br w:type="page"/>
      </w:r>
    </w:p>
    <w:p w14:paraId="066CED9D">
      <w:pPr>
        <w:spacing w:after="60" w:afterLines="25" w:line="360" w:lineRule="auto"/>
        <w:ind w:firstLine="482" w:firstLineChars="200"/>
        <w:jc w:val="center"/>
        <w:outlineLvl w:val="4"/>
        <w:rPr>
          <w:rFonts w:ascii="Arial" w:hAnsi="Arial" w:eastAsia="宋体"/>
          <w:b/>
        </w:rPr>
      </w:pPr>
      <w:r>
        <w:rPr>
          <w:rFonts w:hint="eastAsia" w:ascii="宋体" w:hAnsi="宋体" w:eastAsia="宋体"/>
          <w:b/>
        </w:rPr>
        <w:t>③</w:t>
      </w:r>
      <w:r>
        <w:rPr>
          <w:rFonts w:hint="eastAsia" w:ascii="Arial" w:hAnsi="Arial" w:eastAsia="宋体"/>
          <w:b/>
        </w:rPr>
        <w:t>监狱企业声明函（服务）</w:t>
      </w:r>
    </w:p>
    <w:p w14:paraId="3DB9559C">
      <w:pPr>
        <w:spacing w:after="60" w:afterLines="25" w:line="360" w:lineRule="auto"/>
        <w:ind w:firstLine="480" w:firstLineChars="200"/>
        <w:rPr>
          <w:rFonts w:ascii="宋体" w:hAnsi="宋体" w:eastAsia="宋体"/>
          <w:szCs w:val="21"/>
        </w:rPr>
      </w:pPr>
      <w:r>
        <w:rPr>
          <w:rFonts w:hint="eastAsia" w:ascii="宋体" w:hAnsi="宋体" w:eastAsia="宋体"/>
          <w:szCs w:val="21"/>
        </w:rPr>
        <w:t>本投标人郑重声明，根据《财政部司法部关于政府采购支持监狱企业发展有关问题的通知》（财库〔</w:t>
      </w:r>
      <w:r>
        <w:rPr>
          <w:rFonts w:ascii="宋体" w:hAnsi="宋体" w:eastAsia="宋体"/>
          <w:szCs w:val="21"/>
        </w:rPr>
        <w:t>2014</w:t>
      </w:r>
      <w:r>
        <w:rPr>
          <w:rFonts w:hint="eastAsia" w:ascii="宋体" w:hAnsi="宋体" w:eastAsia="宋体"/>
          <w:szCs w:val="21"/>
        </w:rPr>
        <w:t>〕</w:t>
      </w:r>
      <w:r>
        <w:rPr>
          <w:rFonts w:ascii="宋体" w:hAnsi="宋体" w:eastAsia="宋体"/>
          <w:szCs w:val="21"/>
        </w:rPr>
        <w:t>68</w:t>
      </w:r>
      <w:r>
        <w:rPr>
          <w:rFonts w:hint="eastAsia" w:ascii="宋体" w:hAnsi="宋体" w:eastAsia="宋体"/>
          <w:szCs w:val="21"/>
        </w:rPr>
        <w:t>号）的规定，本投标人</w:t>
      </w:r>
      <w:r>
        <w:rPr>
          <w:rFonts w:ascii="宋体" w:hAnsi="宋体" w:eastAsia="宋体"/>
          <w:szCs w:val="21"/>
        </w:rPr>
        <w:t>参加</w:t>
      </w:r>
      <w:r>
        <w:rPr>
          <w:rFonts w:ascii="宋体" w:hAnsi="宋体" w:eastAsia="宋体"/>
          <w:b/>
          <w:bCs/>
          <w:szCs w:val="21"/>
          <w:u w:val="single"/>
        </w:rPr>
        <w:t>（</w:t>
      </w:r>
      <w:r>
        <w:rPr>
          <w:rFonts w:hint="eastAsia" w:ascii="宋体" w:hAnsi="宋体" w:eastAsia="宋体"/>
          <w:b/>
          <w:bCs/>
          <w:szCs w:val="21"/>
          <w:u w:val="single"/>
        </w:rPr>
        <w:t>采购人</w:t>
      </w:r>
      <w:r>
        <w:rPr>
          <w:rFonts w:ascii="宋体" w:hAnsi="宋体" w:eastAsia="宋体"/>
          <w:b/>
          <w:bCs/>
          <w:szCs w:val="21"/>
          <w:u w:val="single"/>
        </w:rPr>
        <w:t>名称）</w:t>
      </w:r>
      <w:r>
        <w:rPr>
          <w:rFonts w:ascii="宋体" w:hAnsi="宋体" w:eastAsia="宋体"/>
          <w:szCs w:val="21"/>
        </w:rPr>
        <w:t>的</w:t>
      </w:r>
      <w:r>
        <w:rPr>
          <w:rFonts w:ascii="宋体" w:hAnsi="宋体" w:eastAsia="宋体"/>
          <w:b/>
          <w:bCs/>
          <w:szCs w:val="21"/>
          <w:u w:val="single"/>
        </w:rPr>
        <w:t>（项目名称）</w:t>
      </w:r>
      <w:r>
        <w:rPr>
          <w:rFonts w:ascii="宋体" w:hAnsi="宋体" w:eastAsia="宋体"/>
          <w:szCs w:val="21"/>
        </w:rPr>
        <w:t>采购活动，</w:t>
      </w:r>
      <w:r>
        <w:rPr>
          <w:rFonts w:hint="eastAsia" w:ascii="宋体" w:hAnsi="宋体" w:eastAsia="宋体"/>
          <w:szCs w:val="21"/>
        </w:rPr>
        <w:t>服务</w:t>
      </w:r>
      <w:r>
        <w:rPr>
          <w:rFonts w:ascii="宋体" w:hAnsi="宋体" w:eastAsia="宋体"/>
          <w:szCs w:val="21"/>
        </w:rPr>
        <w:t>全部由符合政策要求的</w:t>
      </w:r>
      <w:r>
        <w:rPr>
          <w:rFonts w:hint="eastAsia" w:ascii="宋体" w:hAnsi="宋体" w:eastAsia="宋体"/>
          <w:szCs w:val="21"/>
        </w:rPr>
        <w:t>监狱企业承接</w:t>
      </w:r>
      <w:r>
        <w:rPr>
          <w:rFonts w:ascii="宋体" w:hAnsi="宋体" w:eastAsia="宋体"/>
          <w:szCs w:val="21"/>
        </w:rPr>
        <w:t>。相关</w:t>
      </w:r>
      <w:r>
        <w:rPr>
          <w:rFonts w:hint="eastAsia" w:ascii="宋体" w:hAnsi="宋体" w:eastAsia="宋体"/>
          <w:szCs w:val="21"/>
        </w:rPr>
        <w:t>监狱企业</w:t>
      </w:r>
      <w:r>
        <w:rPr>
          <w:rFonts w:ascii="宋体" w:hAnsi="宋体" w:eastAsia="宋体"/>
          <w:szCs w:val="21"/>
        </w:rPr>
        <w:t>的具体情况如下：</w:t>
      </w:r>
    </w:p>
    <w:p w14:paraId="37FD7D8F">
      <w:pPr>
        <w:spacing w:after="60" w:afterLines="25" w:line="360" w:lineRule="auto"/>
        <w:ind w:firstLine="480" w:firstLineChars="200"/>
        <w:rPr>
          <w:rFonts w:ascii="宋体" w:hAnsi="宋体" w:eastAsia="宋体"/>
          <w:szCs w:val="21"/>
        </w:rPr>
      </w:pPr>
      <w:r>
        <w:rPr>
          <w:rFonts w:ascii="宋体" w:hAnsi="宋体" w:eastAsia="宋体"/>
          <w:szCs w:val="21"/>
        </w:rPr>
        <w:t>1.</w:t>
      </w:r>
      <w:r>
        <w:rPr>
          <w:rFonts w:ascii="宋体" w:hAnsi="宋体" w:eastAsia="宋体"/>
          <w:b/>
          <w:bCs/>
          <w:szCs w:val="21"/>
          <w:u w:val="single"/>
        </w:rPr>
        <w:t xml:space="preserve"> （标的名称）</w:t>
      </w:r>
      <w:r>
        <w:rPr>
          <w:rFonts w:hint="eastAsia" w:ascii="宋体" w:hAnsi="宋体" w:eastAsia="宋体"/>
          <w:szCs w:val="21"/>
        </w:rPr>
        <w:t>，承接单位</w:t>
      </w:r>
      <w:r>
        <w:rPr>
          <w:rFonts w:ascii="宋体" w:hAnsi="宋体" w:eastAsia="宋体"/>
          <w:szCs w:val="21"/>
        </w:rPr>
        <w:t>为</w:t>
      </w:r>
      <w:r>
        <w:rPr>
          <w:rFonts w:ascii="宋体" w:hAnsi="宋体" w:eastAsia="宋体"/>
          <w:b/>
          <w:bCs/>
          <w:szCs w:val="21"/>
          <w:u w:val="single"/>
        </w:rPr>
        <w:t>（</w:t>
      </w:r>
      <w:r>
        <w:rPr>
          <w:rFonts w:hint="eastAsia" w:ascii="宋体" w:hAnsi="宋体" w:eastAsia="宋体"/>
          <w:b/>
          <w:bCs/>
          <w:szCs w:val="21"/>
          <w:u w:val="single"/>
        </w:rPr>
        <w:t>企业</w:t>
      </w:r>
      <w:r>
        <w:rPr>
          <w:rFonts w:ascii="宋体" w:hAnsi="宋体" w:eastAsia="宋体"/>
          <w:b/>
          <w:bCs/>
          <w:szCs w:val="21"/>
          <w:u w:val="single"/>
        </w:rPr>
        <w:t>名称）</w:t>
      </w:r>
      <w:r>
        <w:rPr>
          <w:rFonts w:ascii="宋体" w:hAnsi="宋体" w:eastAsia="宋体"/>
          <w:szCs w:val="21"/>
        </w:rPr>
        <w:t>，属于</w:t>
      </w:r>
      <w:r>
        <w:rPr>
          <w:rFonts w:hint="eastAsia" w:ascii="宋体" w:hAnsi="宋体" w:eastAsia="宋体"/>
          <w:b/>
          <w:bCs/>
          <w:szCs w:val="21"/>
          <w:u w:val="single"/>
        </w:rPr>
        <w:t>监狱企业</w:t>
      </w:r>
      <w:r>
        <w:rPr>
          <w:rFonts w:ascii="宋体" w:hAnsi="宋体" w:eastAsia="宋体"/>
          <w:szCs w:val="21"/>
        </w:rPr>
        <w:t>；</w:t>
      </w:r>
    </w:p>
    <w:p w14:paraId="66ABB018">
      <w:pPr>
        <w:spacing w:after="60" w:afterLines="25" w:line="360" w:lineRule="auto"/>
        <w:ind w:firstLine="480" w:firstLineChars="200"/>
        <w:rPr>
          <w:rFonts w:ascii="宋体" w:hAnsi="宋体" w:eastAsia="宋体"/>
          <w:szCs w:val="21"/>
        </w:rPr>
      </w:pPr>
      <w:r>
        <w:rPr>
          <w:rFonts w:ascii="宋体" w:hAnsi="宋体" w:eastAsia="宋体"/>
          <w:szCs w:val="21"/>
        </w:rPr>
        <w:t>2.</w:t>
      </w:r>
      <w:r>
        <w:rPr>
          <w:rFonts w:ascii="宋体" w:hAnsi="宋体" w:eastAsia="宋体"/>
          <w:b/>
          <w:bCs/>
          <w:szCs w:val="21"/>
          <w:u w:val="single"/>
        </w:rPr>
        <w:t xml:space="preserve"> （标的名称）</w:t>
      </w:r>
      <w:r>
        <w:rPr>
          <w:rFonts w:hint="eastAsia" w:ascii="宋体" w:hAnsi="宋体" w:eastAsia="宋体"/>
          <w:szCs w:val="21"/>
        </w:rPr>
        <w:t>，承接单位</w:t>
      </w:r>
      <w:r>
        <w:rPr>
          <w:rFonts w:ascii="宋体" w:hAnsi="宋体" w:eastAsia="宋体"/>
          <w:szCs w:val="21"/>
        </w:rPr>
        <w:t>为</w:t>
      </w:r>
      <w:r>
        <w:rPr>
          <w:rFonts w:ascii="宋体" w:hAnsi="宋体" w:eastAsia="宋体"/>
          <w:b/>
          <w:bCs/>
          <w:szCs w:val="21"/>
          <w:u w:val="single"/>
        </w:rPr>
        <w:t>（</w:t>
      </w:r>
      <w:r>
        <w:rPr>
          <w:rFonts w:hint="eastAsia" w:ascii="宋体" w:hAnsi="宋体" w:eastAsia="宋体"/>
          <w:b/>
          <w:bCs/>
          <w:szCs w:val="21"/>
          <w:u w:val="single"/>
        </w:rPr>
        <w:t>企业</w:t>
      </w:r>
      <w:r>
        <w:rPr>
          <w:rFonts w:ascii="宋体" w:hAnsi="宋体" w:eastAsia="宋体"/>
          <w:b/>
          <w:bCs/>
          <w:szCs w:val="21"/>
          <w:u w:val="single"/>
        </w:rPr>
        <w:t>名称）</w:t>
      </w:r>
      <w:r>
        <w:rPr>
          <w:rFonts w:ascii="宋体" w:hAnsi="宋体" w:eastAsia="宋体"/>
          <w:szCs w:val="21"/>
        </w:rPr>
        <w:t>，属于</w:t>
      </w:r>
      <w:r>
        <w:rPr>
          <w:rFonts w:hint="eastAsia" w:ascii="宋体" w:hAnsi="宋体" w:eastAsia="宋体"/>
          <w:b/>
          <w:bCs/>
          <w:szCs w:val="21"/>
          <w:u w:val="single"/>
        </w:rPr>
        <w:t>监狱企业</w:t>
      </w:r>
      <w:r>
        <w:rPr>
          <w:rFonts w:hint="eastAsia" w:ascii="宋体" w:hAnsi="宋体" w:eastAsia="宋体"/>
          <w:szCs w:val="21"/>
        </w:rPr>
        <w:t>。</w:t>
      </w:r>
    </w:p>
    <w:p w14:paraId="63F6C9FF">
      <w:pPr>
        <w:spacing w:after="60" w:afterLines="25" w:line="360" w:lineRule="auto"/>
        <w:ind w:firstLine="480" w:firstLineChars="200"/>
        <w:rPr>
          <w:rFonts w:ascii="宋体" w:hAnsi="宋体" w:eastAsia="宋体"/>
          <w:szCs w:val="21"/>
        </w:rPr>
      </w:pPr>
      <w:r>
        <w:rPr>
          <w:rFonts w:ascii="宋体" w:hAnsi="宋体" w:eastAsia="宋体"/>
          <w:szCs w:val="21"/>
        </w:rPr>
        <w:t xml:space="preserve">…… </w:t>
      </w:r>
    </w:p>
    <w:p w14:paraId="2DCB7644">
      <w:pPr>
        <w:spacing w:after="60" w:afterLines="25" w:line="360" w:lineRule="auto"/>
        <w:ind w:firstLine="480" w:firstLineChars="200"/>
        <w:rPr>
          <w:rFonts w:ascii="宋体" w:hAnsi="宋体" w:eastAsia="宋体"/>
          <w:szCs w:val="21"/>
        </w:rPr>
      </w:pPr>
      <w:r>
        <w:rPr>
          <w:rFonts w:ascii="宋体" w:hAnsi="宋体" w:eastAsia="宋体"/>
          <w:szCs w:val="21"/>
        </w:rPr>
        <w:t>本</w:t>
      </w:r>
      <w:r>
        <w:rPr>
          <w:rFonts w:hint="eastAsia" w:ascii="宋体" w:hAnsi="宋体" w:eastAsia="宋体"/>
          <w:szCs w:val="21"/>
        </w:rPr>
        <w:t>投标人</w:t>
      </w:r>
      <w:r>
        <w:rPr>
          <w:rFonts w:ascii="宋体" w:hAnsi="宋体" w:eastAsia="宋体"/>
          <w:szCs w:val="21"/>
        </w:rPr>
        <w:t>对上述声明内容的真实性负责。如有虚假，将依法承担相应责任。</w:t>
      </w:r>
    </w:p>
    <w:p w14:paraId="378FE143">
      <w:pPr>
        <w:spacing w:after="60" w:afterLines="25" w:line="360" w:lineRule="auto"/>
        <w:ind w:firstLine="480" w:firstLineChars="200"/>
        <w:rPr>
          <w:rFonts w:ascii="宋体" w:hAnsi="宋体" w:eastAsia="宋体"/>
          <w:szCs w:val="21"/>
        </w:rPr>
      </w:pPr>
    </w:p>
    <w:p w14:paraId="610BB57D">
      <w:pPr>
        <w:spacing w:after="60" w:afterLines="25" w:line="360" w:lineRule="auto"/>
        <w:ind w:firstLine="482" w:firstLineChars="200"/>
        <w:rPr>
          <w:rFonts w:ascii="宋体" w:hAnsi="宋体" w:eastAsia="宋体"/>
          <w:b/>
          <w:color w:val="FF0000"/>
          <w:szCs w:val="21"/>
        </w:rPr>
      </w:pPr>
      <w:r>
        <w:rPr>
          <w:rFonts w:hint="eastAsia" w:ascii="宋体" w:hAnsi="宋体" w:eastAsia="宋体"/>
          <w:b/>
          <w:color w:val="FF0000"/>
          <w:szCs w:val="21"/>
        </w:rPr>
        <w:t>附：省级以上监狱管理局、戒毒管理局（含新疆生产建设兵团）出具的监狱企业证明文件。</w:t>
      </w:r>
    </w:p>
    <w:p w14:paraId="5D22A249">
      <w:pPr>
        <w:spacing w:after="60" w:afterLines="25" w:line="360" w:lineRule="auto"/>
        <w:rPr>
          <w:rFonts w:ascii="宋体" w:hAnsi="宋体" w:eastAsia="宋体"/>
          <w:szCs w:val="21"/>
        </w:rPr>
      </w:pPr>
    </w:p>
    <w:p w14:paraId="0EAEACEA">
      <w:pPr>
        <w:spacing w:after="60" w:afterLines="25" w:line="360" w:lineRule="auto"/>
        <w:rPr>
          <w:rFonts w:ascii="宋体" w:hAnsi="宋体" w:eastAsia="宋体"/>
          <w:szCs w:val="21"/>
        </w:rPr>
      </w:pPr>
    </w:p>
    <w:p w14:paraId="0E5A5A8C">
      <w:pPr>
        <w:spacing w:after="60" w:afterLines="25" w:line="360" w:lineRule="auto"/>
        <w:rPr>
          <w:rFonts w:ascii="宋体" w:hAnsi="宋体" w:eastAsia="宋体"/>
          <w:szCs w:val="21"/>
        </w:rPr>
      </w:pPr>
    </w:p>
    <w:p w14:paraId="3C80D0F4">
      <w:pPr>
        <w:spacing w:after="60" w:afterLines="25" w:line="360" w:lineRule="auto"/>
        <w:ind w:firstLine="480" w:firstLineChars="200"/>
        <w:jc w:val="right"/>
        <w:rPr>
          <w:rFonts w:ascii="宋体" w:hAnsi="宋体" w:eastAsia="宋体"/>
          <w:szCs w:val="21"/>
        </w:rPr>
      </w:pPr>
      <w:r>
        <w:rPr>
          <w:rFonts w:hint="eastAsia" w:ascii="宋体" w:hAnsi="宋体" w:eastAsia="宋体"/>
          <w:szCs w:val="21"/>
        </w:rPr>
        <w:t xml:space="preserve">投标人（投标单位）：       </w:t>
      </w:r>
    </w:p>
    <w:p w14:paraId="6A02D625">
      <w:pPr>
        <w:spacing w:after="60" w:afterLines="25" w:line="360" w:lineRule="auto"/>
        <w:ind w:firstLine="480" w:firstLineChars="200"/>
        <w:jc w:val="right"/>
        <w:rPr>
          <w:rFonts w:ascii="宋体" w:hAnsi="宋体" w:eastAsia="宋体"/>
          <w:szCs w:val="21"/>
        </w:rPr>
      </w:pPr>
      <w:r>
        <w:rPr>
          <w:rFonts w:hint="eastAsia" w:ascii="宋体" w:hAnsi="宋体" w:eastAsia="宋体"/>
          <w:szCs w:val="21"/>
        </w:rPr>
        <w:t xml:space="preserve">日期：       </w:t>
      </w:r>
    </w:p>
    <w:p w14:paraId="52F11ECB">
      <w:pPr>
        <w:spacing w:line="360" w:lineRule="auto"/>
        <w:rPr>
          <w:rFonts w:ascii="宋体" w:hAnsi="宋体" w:eastAsia="宋体"/>
          <w:b/>
        </w:rPr>
      </w:pPr>
      <w:r>
        <w:br w:type="page"/>
      </w:r>
    </w:p>
    <w:p w14:paraId="670EAFEC">
      <w:pPr>
        <w:spacing w:after="60" w:afterLines="25" w:line="360" w:lineRule="auto"/>
        <w:ind w:firstLine="482" w:firstLineChars="200"/>
        <w:jc w:val="center"/>
        <w:outlineLvl w:val="4"/>
        <w:rPr>
          <w:rFonts w:ascii="宋体" w:hAnsi="宋体" w:eastAsia="宋体"/>
          <w:b/>
          <w:szCs w:val="21"/>
        </w:rPr>
      </w:pPr>
      <w:r>
        <w:rPr>
          <w:rFonts w:hint="eastAsia" w:ascii="宋体" w:hAnsi="宋体" w:eastAsia="宋体"/>
          <w:b/>
        </w:rPr>
        <w:t>④</w:t>
      </w:r>
      <w:r>
        <w:rPr>
          <w:rFonts w:hint="eastAsia" w:ascii="宋体" w:hAnsi="宋体" w:eastAsia="宋体"/>
          <w:b/>
          <w:szCs w:val="21"/>
        </w:rPr>
        <w:t>含有优惠主体的联合体声明函</w:t>
      </w:r>
    </w:p>
    <w:p w14:paraId="48848A50">
      <w:pPr>
        <w:spacing w:after="60" w:afterLines="25" w:line="360" w:lineRule="auto"/>
        <w:ind w:firstLine="480" w:firstLineChars="200"/>
        <w:rPr>
          <w:rFonts w:ascii="宋体" w:hAnsi="宋体" w:eastAsia="宋体"/>
          <w:szCs w:val="21"/>
        </w:rPr>
      </w:pPr>
      <w:r>
        <w:rPr>
          <w:rFonts w:hint="eastAsia" w:ascii="宋体" w:hAnsi="宋体" w:eastAsia="宋体"/>
          <w:szCs w:val="21"/>
          <w:u w:val="single"/>
        </w:rPr>
        <w:t xml:space="preserve">  （供应商名称、供应商名称）  </w:t>
      </w:r>
      <w:r>
        <w:rPr>
          <w:rFonts w:hint="eastAsia" w:ascii="宋体" w:hAnsi="宋体" w:eastAsia="宋体"/>
          <w:szCs w:val="21"/>
        </w:rPr>
        <w:t>共同组成联合体（详见联合体协议）。本联合体</w:t>
      </w:r>
      <w:r>
        <w:rPr>
          <w:rFonts w:ascii="宋体" w:hAnsi="宋体" w:eastAsia="宋体"/>
          <w:szCs w:val="21"/>
        </w:rPr>
        <w:t>参加</w:t>
      </w:r>
      <w:r>
        <w:rPr>
          <w:rFonts w:ascii="宋体" w:hAnsi="宋体" w:eastAsia="宋体"/>
          <w:b/>
          <w:bCs/>
          <w:szCs w:val="21"/>
          <w:u w:val="single"/>
        </w:rPr>
        <w:t>（</w:t>
      </w:r>
      <w:r>
        <w:rPr>
          <w:rFonts w:hint="eastAsia" w:ascii="宋体" w:hAnsi="宋体" w:eastAsia="宋体"/>
          <w:b/>
          <w:bCs/>
          <w:szCs w:val="21"/>
          <w:u w:val="single"/>
        </w:rPr>
        <w:t>采购人</w:t>
      </w:r>
      <w:r>
        <w:rPr>
          <w:rFonts w:ascii="宋体" w:hAnsi="宋体" w:eastAsia="宋体"/>
          <w:b/>
          <w:bCs/>
          <w:szCs w:val="21"/>
          <w:u w:val="single"/>
        </w:rPr>
        <w:t>名称）</w:t>
      </w:r>
      <w:r>
        <w:rPr>
          <w:rFonts w:ascii="宋体" w:hAnsi="宋体" w:eastAsia="宋体"/>
          <w:szCs w:val="21"/>
        </w:rPr>
        <w:t>的</w:t>
      </w:r>
      <w:r>
        <w:rPr>
          <w:rFonts w:ascii="宋体" w:hAnsi="宋体" w:eastAsia="宋体"/>
          <w:b/>
          <w:bCs/>
          <w:szCs w:val="21"/>
          <w:u w:val="single"/>
        </w:rPr>
        <w:t>（项目名称）</w:t>
      </w:r>
      <w:r>
        <w:rPr>
          <w:rFonts w:ascii="宋体" w:hAnsi="宋体" w:eastAsia="宋体"/>
          <w:szCs w:val="21"/>
        </w:rPr>
        <w:t>采购活动</w:t>
      </w:r>
      <w:r>
        <w:rPr>
          <w:rFonts w:hint="eastAsia" w:ascii="宋体" w:hAnsi="宋体" w:eastAsia="宋体"/>
          <w:szCs w:val="21"/>
        </w:rPr>
        <w:t>，郑重声明：</w:t>
      </w:r>
    </w:p>
    <w:p w14:paraId="5C925FE9">
      <w:pPr>
        <w:spacing w:after="60" w:afterLines="25" w:line="360" w:lineRule="auto"/>
        <w:ind w:firstLine="480" w:firstLineChars="200"/>
        <w:rPr>
          <w:rFonts w:ascii="宋体" w:hAnsi="宋体" w:eastAsia="宋体"/>
          <w:szCs w:val="21"/>
        </w:rPr>
      </w:pPr>
      <w:r>
        <w:rPr>
          <w:rFonts w:ascii="宋体" w:hAnsi="宋体" w:eastAsia="宋体"/>
          <w:szCs w:val="21"/>
        </w:rPr>
        <w:t>1.</w:t>
      </w:r>
      <w:r>
        <w:rPr>
          <w:rFonts w:ascii="宋体" w:hAnsi="宋体" w:eastAsia="宋体"/>
          <w:b/>
          <w:bCs/>
          <w:szCs w:val="21"/>
          <w:u w:val="single"/>
        </w:rPr>
        <w:t>（标的名称）</w:t>
      </w:r>
      <w:r>
        <w:rPr>
          <w:rFonts w:ascii="宋体" w:hAnsi="宋体" w:eastAsia="宋体"/>
          <w:szCs w:val="21"/>
        </w:rPr>
        <w:t>，属于</w:t>
      </w:r>
      <w:r>
        <w:rPr>
          <w:rFonts w:ascii="宋体" w:hAnsi="宋体" w:eastAsia="宋体"/>
          <w:b/>
          <w:bCs/>
          <w:szCs w:val="21"/>
          <w:u w:val="single"/>
        </w:rPr>
        <w:t>（</w:t>
      </w:r>
      <w:r>
        <w:rPr>
          <w:rFonts w:hint="eastAsia" w:ascii="宋体" w:hAnsi="宋体" w:eastAsia="宋体"/>
          <w:b/>
          <w:bCs/>
          <w:szCs w:val="21"/>
          <w:u w:val="single"/>
        </w:rPr>
        <w:t>招标</w:t>
      </w:r>
      <w:r>
        <w:rPr>
          <w:rFonts w:ascii="宋体" w:hAnsi="宋体" w:eastAsia="宋体"/>
          <w:b/>
          <w:bCs/>
          <w:szCs w:val="21"/>
          <w:u w:val="single"/>
        </w:rPr>
        <w:t xml:space="preserve">文件中明确的所属行业） </w:t>
      </w:r>
      <w:r>
        <w:rPr>
          <w:rFonts w:ascii="宋体" w:hAnsi="宋体" w:eastAsia="宋体"/>
          <w:szCs w:val="21"/>
        </w:rPr>
        <w:t>行业；</w:t>
      </w:r>
      <w:r>
        <w:rPr>
          <w:rFonts w:hint="eastAsia" w:ascii="宋体" w:hAnsi="宋体" w:eastAsia="宋体"/>
          <w:szCs w:val="21"/>
        </w:rPr>
        <w:t>承接企业</w:t>
      </w:r>
      <w:r>
        <w:rPr>
          <w:rFonts w:ascii="宋体" w:hAnsi="宋体" w:eastAsia="宋体"/>
          <w:szCs w:val="21"/>
        </w:rPr>
        <w:t>为</w:t>
      </w:r>
      <w:r>
        <w:rPr>
          <w:rFonts w:ascii="宋体" w:hAnsi="宋体" w:eastAsia="宋体"/>
          <w:b/>
          <w:bCs/>
          <w:szCs w:val="21"/>
          <w:u w:val="single"/>
        </w:rPr>
        <w:t>（企业名称）</w:t>
      </w:r>
      <w:r>
        <w:rPr>
          <w:rFonts w:ascii="宋体" w:hAnsi="宋体" w:eastAsia="宋体"/>
          <w:szCs w:val="21"/>
        </w:rPr>
        <w:t>，从业人员人，营业收入为万元，资产总额为万元 ，属于</w:t>
      </w:r>
      <w:r>
        <w:rPr>
          <w:rFonts w:ascii="宋体" w:hAnsi="宋体" w:eastAsia="宋体"/>
          <w:b/>
          <w:bCs/>
          <w:szCs w:val="21"/>
          <w:u w:val="single"/>
        </w:rPr>
        <w:t>（</w:t>
      </w:r>
      <w:r>
        <w:rPr>
          <w:rFonts w:hint="eastAsia" w:ascii="宋体" w:hAnsi="宋体" w:eastAsia="宋体"/>
          <w:b/>
          <w:bCs/>
          <w:szCs w:val="21"/>
          <w:u w:val="single"/>
        </w:rPr>
        <w:t>小型企业、微型企业、监狱企业、残疾人福利性单位</w:t>
      </w:r>
      <w:r>
        <w:rPr>
          <w:rFonts w:ascii="宋体" w:hAnsi="宋体" w:eastAsia="宋体"/>
          <w:b/>
          <w:bCs/>
          <w:szCs w:val="21"/>
          <w:u w:val="single"/>
        </w:rPr>
        <w:t>）</w:t>
      </w:r>
      <w:r>
        <w:rPr>
          <w:rFonts w:ascii="宋体" w:hAnsi="宋体" w:eastAsia="宋体"/>
          <w:szCs w:val="21"/>
        </w:rPr>
        <w:t xml:space="preserve">； </w:t>
      </w:r>
    </w:p>
    <w:p w14:paraId="0CCAFFF4">
      <w:pPr>
        <w:spacing w:after="60" w:afterLines="25" w:line="360" w:lineRule="auto"/>
        <w:ind w:firstLine="480" w:firstLineChars="200"/>
        <w:rPr>
          <w:rFonts w:ascii="宋体" w:hAnsi="宋体" w:eastAsia="宋体"/>
          <w:szCs w:val="21"/>
          <w:u w:val="single"/>
        </w:rPr>
      </w:pPr>
      <w:r>
        <w:rPr>
          <w:rFonts w:ascii="宋体" w:hAnsi="宋体" w:eastAsia="宋体"/>
          <w:szCs w:val="21"/>
        </w:rPr>
        <w:t>2.</w:t>
      </w:r>
      <w:r>
        <w:rPr>
          <w:rFonts w:ascii="宋体" w:hAnsi="宋体" w:eastAsia="宋体"/>
          <w:b/>
          <w:bCs/>
          <w:szCs w:val="21"/>
          <w:u w:val="single"/>
        </w:rPr>
        <w:t>（标的名称）</w:t>
      </w:r>
      <w:r>
        <w:rPr>
          <w:rFonts w:ascii="宋体" w:hAnsi="宋体" w:eastAsia="宋体"/>
          <w:szCs w:val="21"/>
        </w:rPr>
        <w:t>，属于</w:t>
      </w:r>
      <w:r>
        <w:rPr>
          <w:rFonts w:ascii="宋体" w:hAnsi="宋体" w:eastAsia="宋体"/>
          <w:b/>
          <w:bCs/>
          <w:szCs w:val="21"/>
          <w:u w:val="single"/>
        </w:rPr>
        <w:t>（</w:t>
      </w:r>
      <w:r>
        <w:rPr>
          <w:rFonts w:hint="eastAsia" w:ascii="宋体" w:hAnsi="宋体" w:eastAsia="宋体"/>
          <w:b/>
          <w:bCs/>
          <w:szCs w:val="21"/>
          <w:u w:val="single"/>
        </w:rPr>
        <w:t>招标</w:t>
      </w:r>
      <w:r>
        <w:rPr>
          <w:rFonts w:ascii="宋体" w:hAnsi="宋体" w:eastAsia="宋体"/>
          <w:b/>
          <w:bCs/>
          <w:szCs w:val="21"/>
          <w:u w:val="single"/>
        </w:rPr>
        <w:t xml:space="preserve">文件中明确的所属行业） </w:t>
      </w:r>
      <w:r>
        <w:rPr>
          <w:rFonts w:ascii="宋体" w:hAnsi="宋体" w:eastAsia="宋体"/>
          <w:szCs w:val="21"/>
        </w:rPr>
        <w:t>行业；</w:t>
      </w:r>
      <w:r>
        <w:rPr>
          <w:rFonts w:hint="eastAsia" w:ascii="宋体" w:hAnsi="宋体" w:eastAsia="宋体"/>
          <w:szCs w:val="21"/>
        </w:rPr>
        <w:t>承接企业</w:t>
      </w:r>
      <w:r>
        <w:rPr>
          <w:rFonts w:ascii="宋体" w:hAnsi="宋体" w:eastAsia="宋体"/>
          <w:szCs w:val="21"/>
        </w:rPr>
        <w:t>为</w:t>
      </w:r>
      <w:r>
        <w:rPr>
          <w:rFonts w:ascii="宋体" w:hAnsi="宋体" w:eastAsia="宋体"/>
          <w:b/>
          <w:bCs/>
          <w:szCs w:val="21"/>
          <w:u w:val="single"/>
        </w:rPr>
        <w:t>（企业名称）</w:t>
      </w:r>
      <w:r>
        <w:rPr>
          <w:rFonts w:ascii="宋体" w:hAnsi="宋体" w:eastAsia="宋体"/>
          <w:szCs w:val="21"/>
        </w:rPr>
        <w:t>，从业人员人，营业收入为万元，资产总额为万元 ，属于</w:t>
      </w:r>
      <w:r>
        <w:rPr>
          <w:rFonts w:ascii="宋体" w:hAnsi="宋体" w:eastAsia="宋体"/>
          <w:b/>
          <w:bCs/>
          <w:szCs w:val="21"/>
          <w:u w:val="single"/>
        </w:rPr>
        <w:t>（</w:t>
      </w:r>
      <w:r>
        <w:rPr>
          <w:rFonts w:hint="eastAsia" w:ascii="宋体" w:hAnsi="宋体" w:eastAsia="宋体"/>
          <w:b/>
          <w:bCs/>
          <w:szCs w:val="21"/>
          <w:u w:val="single"/>
        </w:rPr>
        <w:t>小型企业、微型企业、监狱企业、残疾人福利性单位</w:t>
      </w:r>
      <w:r>
        <w:rPr>
          <w:rFonts w:ascii="宋体" w:hAnsi="宋体" w:eastAsia="宋体"/>
          <w:b/>
          <w:bCs/>
          <w:szCs w:val="21"/>
          <w:u w:val="single"/>
        </w:rPr>
        <w:t>）</w:t>
      </w:r>
      <w:r>
        <w:rPr>
          <w:rFonts w:hint="eastAsia" w:ascii="宋体" w:hAnsi="宋体" w:eastAsia="宋体"/>
          <w:szCs w:val="21"/>
        </w:rPr>
        <w:t>；</w:t>
      </w:r>
    </w:p>
    <w:p w14:paraId="69D12E41">
      <w:pPr>
        <w:spacing w:after="60" w:afterLines="25" w:line="360" w:lineRule="auto"/>
        <w:ind w:firstLine="480" w:firstLineChars="200"/>
        <w:rPr>
          <w:rFonts w:ascii="宋体" w:hAnsi="宋体" w:eastAsia="宋体"/>
          <w:szCs w:val="21"/>
        </w:rPr>
      </w:pPr>
      <w:r>
        <w:rPr>
          <w:rFonts w:ascii="宋体" w:hAnsi="宋体" w:eastAsia="宋体"/>
          <w:szCs w:val="21"/>
        </w:rPr>
        <w:t xml:space="preserve">…… </w:t>
      </w:r>
    </w:p>
    <w:p w14:paraId="463F9FE2">
      <w:pPr>
        <w:spacing w:after="60" w:afterLines="25" w:line="360" w:lineRule="auto"/>
        <w:ind w:firstLine="480" w:firstLineChars="200"/>
        <w:rPr>
          <w:rFonts w:ascii="宋体" w:hAnsi="宋体" w:eastAsia="宋体"/>
          <w:szCs w:val="21"/>
        </w:rPr>
      </w:pPr>
      <w:r>
        <w:rPr>
          <w:rFonts w:hint="eastAsia" w:ascii="宋体" w:hAnsi="宋体" w:eastAsia="宋体"/>
          <w:szCs w:val="21"/>
        </w:rPr>
        <w:t>上述优惠主体均符合《</w:t>
      </w:r>
      <w:r>
        <w:rPr>
          <w:rFonts w:ascii="宋体" w:hAnsi="宋体" w:eastAsia="宋体"/>
          <w:szCs w:val="21"/>
        </w:rPr>
        <w:t>政府采购促进中小企业发展管理办法</w:t>
      </w:r>
      <w:r>
        <w:rPr>
          <w:rFonts w:hint="eastAsia" w:ascii="宋体" w:hAnsi="宋体" w:eastAsia="宋体"/>
          <w:szCs w:val="21"/>
        </w:rPr>
        <w:t>》（</w:t>
      </w:r>
      <w:r>
        <w:rPr>
          <w:rFonts w:ascii="宋体" w:hAnsi="宋体" w:eastAsia="宋体"/>
          <w:szCs w:val="21"/>
        </w:rPr>
        <w:t>财库〔2020〕46号</w:t>
      </w:r>
      <w:r>
        <w:rPr>
          <w:rFonts w:hint="eastAsia" w:ascii="宋体" w:hAnsi="宋体" w:eastAsia="宋体"/>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szCs w:val="21"/>
          <w:u w:val="single"/>
        </w:rPr>
        <w:t>_____</w:t>
      </w:r>
      <w:r>
        <w:rPr>
          <w:rFonts w:hint="eastAsia" w:ascii="宋体" w:hAnsi="宋体" w:eastAsia="宋体"/>
          <w:szCs w:val="21"/>
        </w:rPr>
        <w:t>%。</w:t>
      </w:r>
    </w:p>
    <w:p w14:paraId="65FED160">
      <w:pPr>
        <w:spacing w:after="60" w:afterLines="25" w:line="360" w:lineRule="auto"/>
        <w:ind w:firstLine="480" w:firstLineChars="200"/>
        <w:rPr>
          <w:rFonts w:ascii="宋体" w:hAnsi="宋体" w:eastAsia="宋体"/>
          <w:szCs w:val="21"/>
        </w:rPr>
      </w:pPr>
      <w:r>
        <w:rPr>
          <w:rFonts w:hint="eastAsia" w:ascii="宋体" w:hAnsi="宋体" w:eastAsia="宋体"/>
          <w:szCs w:val="21"/>
        </w:rPr>
        <w:t>本联合体对上述声明的真实性负责。如有虚假，将依法承担相应责任。</w:t>
      </w:r>
    </w:p>
    <w:p w14:paraId="44602548">
      <w:pPr>
        <w:spacing w:after="60" w:afterLines="25" w:line="360" w:lineRule="auto"/>
        <w:rPr>
          <w:rFonts w:ascii="宋体" w:hAnsi="宋体" w:eastAsia="宋体"/>
          <w:szCs w:val="21"/>
        </w:rPr>
      </w:pPr>
    </w:p>
    <w:p w14:paraId="5B92F4DA">
      <w:pPr>
        <w:spacing w:after="60" w:afterLines="25" w:line="360" w:lineRule="auto"/>
        <w:rPr>
          <w:rFonts w:ascii="宋体" w:hAnsi="宋体" w:eastAsia="宋体"/>
          <w:szCs w:val="21"/>
        </w:rPr>
      </w:pPr>
      <w:r>
        <w:rPr>
          <w:rFonts w:hint="eastAsia" w:ascii="宋体" w:hAnsi="宋体" w:eastAsia="宋体"/>
          <w:szCs w:val="21"/>
        </w:rPr>
        <w:t xml:space="preserve">供应商名称：                              供应商名称： </w:t>
      </w:r>
    </w:p>
    <w:p w14:paraId="0C98F2A3">
      <w:pPr>
        <w:spacing w:after="60" w:afterLines="25" w:line="360" w:lineRule="auto"/>
        <w:rPr>
          <w:rFonts w:ascii="宋体" w:hAnsi="宋体" w:eastAsia="宋体"/>
          <w:szCs w:val="21"/>
        </w:rPr>
      </w:pPr>
      <w:r>
        <w:rPr>
          <w:rFonts w:hint="eastAsia" w:ascii="宋体" w:hAnsi="宋体" w:eastAsia="宋体"/>
          <w:szCs w:val="21"/>
        </w:rPr>
        <w:t xml:space="preserve">日期：                                    日期： </w:t>
      </w:r>
    </w:p>
    <w:p w14:paraId="4B1BB914">
      <w:pPr>
        <w:spacing w:after="60" w:afterLines="25" w:line="360" w:lineRule="auto"/>
        <w:rPr>
          <w:rFonts w:ascii="Arial" w:hAnsi="Arial" w:eastAsia="宋体"/>
        </w:rPr>
      </w:pPr>
    </w:p>
    <w:p w14:paraId="09B20D71">
      <w:pPr>
        <w:spacing w:after="60" w:afterLines="25" w:line="360" w:lineRule="auto"/>
        <w:rPr>
          <w:rFonts w:ascii="宋体" w:hAnsi="宋体" w:eastAsia="宋体"/>
          <w:szCs w:val="21"/>
        </w:rPr>
      </w:pPr>
      <w:r>
        <w:rPr>
          <w:rFonts w:hint="eastAsia" w:ascii="宋体" w:hAnsi="宋体" w:eastAsia="宋体"/>
          <w:szCs w:val="21"/>
        </w:rPr>
        <w:t xml:space="preserve">供应商名称：       </w:t>
      </w:r>
    </w:p>
    <w:p w14:paraId="2C77D2E1">
      <w:pPr>
        <w:spacing w:after="60" w:afterLines="25" w:line="360" w:lineRule="auto"/>
        <w:rPr>
          <w:rFonts w:ascii="宋体" w:hAnsi="宋体" w:eastAsia="宋体"/>
          <w:szCs w:val="21"/>
        </w:rPr>
      </w:pPr>
      <w:r>
        <w:rPr>
          <w:rFonts w:hint="eastAsia" w:ascii="宋体" w:hAnsi="宋体" w:eastAsia="宋体"/>
          <w:szCs w:val="21"/>
        </w:rPr>
        <w:t xml:space="preserve">日期：       </w:t>
      </w:r>
    </w:p>
    <w:p w14:paraId="5946C273">
      <w:pPr>
        <w:snapToGrid w:val="0"/>
        <w:spacing w:after="60" w:afterLines="25" w:line="360" w:lineRule="auto"/>
        <w:ind w:firstLine="482" w:firstLineChars="200"/>
        <w:rPr>
          <w:rFonts w:ascii="Arial" w:hAnsi="Arial" w:eastAsia="宋体"/>
          <w:color w:val="FF0000"/>
        </w:rPr>
      </w:pPr>
      <w:r>
        <w:rPr>
          <w:rFonts w:hint="eastAsia" w:ascii="Arial" w:hAnsi="Arial" w:eastAsia="宋体"/>
          <w:b/>
          <w:color w:val="FF0000"/>
          <w:highlight w:val="yellow"/>
        </w:rPr>
        <w:t>说明：本声明函仅针对允许联合体投标的项目（联合体数量上限以资格要求为准），非联合体投标的供应商或不符合优惠政策的供应商无需提供。</w:t>
      </w:r>
      <w:r>
        <w:rPr>
          <w:rFonts w:hint="eastAsia" w:ascii="Arial" w:hAnsi="Arial" w:eastAsia="宋体"/>
          <w:color w:val="FF0000"/>
          <w:highlight w:val="yellow"/>
        </w:rPr>
        <w:t>符合条件的供应商，请仔细填写声明函中需填写内容，</w:t>
      </w:r>
      <w:r>
        <w:rPr>
          <w:rFonts w:hint="eastAsia" w:ascii="Arial" w:hAnsi="Arial" w:eastAsia="宋体"/>
          <w:b/>
          <w:color w:val="0070C0"/>
          <w:highlight w:val="yellow"/>
        </w:rPr>
        <w:t>供应商可根据自身联合体数量及</w:t>
      </w:r>
      <w:r>
        <w:rPr>
          <w:rFonts w:hint="eastAsia" w:ascii="Arial" w:hAnsi="Arial" w:eastAsia="宋体"/>
          <w:b/>
          <w:color w:val="FF0000"/>
          <w:sz w:val="28"/>
          <w:szCs w:val="28"/>
          <w:highlight w:val="yellow"/>
        </w:rPr>
        <w:t>优惠主体类型</w:t>
      </w:r>
      <w:r>
        <w:rPr>
          <w:rFonts w:hint="eastAsia" w:ascii="Arial" w:hAnsi="Arial" w:eastAsia="宋体"/>
          <w:b/>
          <w:color w:val="0070C0"/>
          <w:highlight w:val="yellow"/>
        </w:rPr>
        <w:t>进行调整本声明函格式</w:t>
      </w:r>
      <w:r>
        <w:rPr>
          <w:rFonts w:hint="eastAsia" w:ascii="Arial" w:hAnsi="Arial" w:eastAsia="宋体"/>
          <w:color w:val="FF0000"/>
          <w:highlight w:val="yellow"/>
        </w:rPr>
        <w:t>，</w:t>
      </w:r>
      <w:r>
        <w:rPr>
          <w:rFonts w:hint="eastAsia" w:ascii="Arial" w:hAnsi="Arial" w:eastAsia="宋体"/>
          <w:b/>
          <w:color w:val="0070C0"/>
          <w:highlight w:val="yellow"/>
        </w:rPr>
        <w:t>如内容填写不全</w:t>
      </w:r>
      <w:r>
        <w:rPr>
          <w:rFonts w:hint="eastAsia" w:ascii="Arial" w:hAnsi="Arial" w:eastAsia="宋体"/>
          <w:color w:val="FF0000"/>
          <w:highlight w:val="yellow"/>
        </w:rPr>
        <w:t>，评委会有权认定该声明函无效，并做出对供应商不予享受优惠政策的决定。</w:t>
      </w:r>
    </w:p>
    <w:p w14:paraId="47F5B892">
      <w:pPr>
        <w:spacing w:line="360" w:lineRule="auto"/>
        <w:jc w:val="center"/>
        <w:rPr>
          <w:rFonts w:ascii="Arial" w:hAnsi="Arial" w:eastAsia="宋体"/>
          <w:b/>
          <w:color w:val="FF0000"/>
          <w:sz w:val="32"/>
          <w:szCs w:val="32"/>
        </w:rPr>
      </w:pPr>
      <w:r>
        <w:br w:type="page"/>
      </w:r>
      <w:r>
        <w:rPr>
          <w:rFonts w:hint="eastAsia" w:ascii="Arial" w:hAnsi="Arial" w:eastAsia="宋体"/>
          <w:b/>
          <w:color w:val="FF0000"/>
          <w:sz w:val="32"/>
          <w:szCs w:val="32"/>
        </w:rPr>
        <w:t>（二）投标文件附件（信息不公开部分）</w:t>
      </w:r>
    </w:p>
    <w:p w14:paraId="4279B579">
      <w:pPr>
        <w:keepNext/>
        <w:keepLines/>
        <w:adjustRightInd w:val="0"/>
        <w:snapToGrid w:val="0"/>
        <w:spacing w:line="360" w:lineRule="auto"/>
        <w:jc w:val="center"/>
        <w:textAlignment w:val="baseline"/>
        <w:outlineLvl w:val="4"/>
        <w:rPr>
          <w:rFonts w:ascii="宋体" w:hAnsi="宋体" w:eastAsia="宋体"/>
          <w:b/>
          <w:bCs/>
          <w:szCs w:val="20"/>
        </w:rPr>
      </w:pPr>
      <w:r>
        <w:rPr>
          <w:rFonts w:hint="eastAsia" w:ascii="宋体" w:hAnsi="宋体" w:eastAsia="宋体"/>
          <w:b/>
          <w:bCs/>
          <w:szCs w:val="20"/>
        </w:rPr>
        <w:t>1.法定代表人资格证明书</w:t>
      </w:r>
    </w:p>
    <w:p w14:paraId="0F51F339">
      <w:pPr>
        <w:spacing w:after="60" w:afterLines="25" w:line="360" w:lineRule="auto"/>
        <w:rPr>
          <w:rFonts w:ascii="Arial" w:hAnsi="Arial" w:eastAsia="宋体"/>
        </w:rPr>
      </w:pPr>
    </w:p>
    <w:p w14:paraId="30492DF8">
      <w:pPr>
        <w:spacing w:line="360" w:lineRule="auto"/>
        <w:rPr>
          <w:rFonts w:ascii="Arial" w:hAnsi="Arial" w:eastAsia="宋体" w:cs="Arial"/>
          <w:szCs w:val="21"/>
          <w:u w:val="single"/>
        </w:rPr>
      </w:pPr>
      <w:r>
        <w:rPr>
          <w:rFonts w:hint="eastAsia" w:ascii="Arial" w:hAnsi="Arial" w:eastAsia="宋体" w:cs="Arial"/>
          <w:szCs w:val="21"/>
        </w:rPr>
        <w:t>单位名称：</w:t>
      </w:r>
    </w:p>
    <w:p w14:paraId="481B70E1">
      <w:pPr>
        <w:spacing w:line="360" w:lineRule="auto"/>
        <w:rPr>
          <w:rFonts w:ascii="Arial" w:hAnsi="Arial" w:eastAsia="宋体" w:cs="Arial"/>
          <w:szCs w:val="21"/>
          <w:u w:val="single"/>
        </w:rPr>
      </w:pPr>
      <w:r>
        <w:rPr>
          <w:rFonts w:hint="eastAsia" w:ascii="Arial" w:hAnsi="Arial" w:eastAsia="宋体" w:cs="Arial"/>
          <w:szCs w:val="21"/>
        </w:rPr>
        <w:t>地址：</w:t>
      </w:r>
    </w:p>
    <w:p w14:paraId="1023F5A5">
      <w:pPr>
        <w:spacing w:line="360" w:lineRule="auto"/>
        <w:rPr>
          <w:rFonts w:ascii="Arial" w:hAnsi="Arial" w:eastAsia="宋体" w:cs="Arial"/>
          <w:szCs w:val="21"/>
          <w:u w:val="single"/>
        </w:rPr>
      </w:pPr>
      <w:r>
        <w:rPr>
          <w:rFonts w:hint="eastAsia" w:ascii="Arial" w:hAnsi="Arial" w:eastAsia="宋体" w:cs="Arial"/>
          <w:szCs w:val="21"/>
        </w:rPr>
        <w:t>姓名：性别：年龄：职务：</w:t>
      </w:r>
    </w:p>
    <w:p w14:paraId="48A92BB9">
      <w:pPr>
        <w:spacing w:line="360" w:lineRule="auto"/>
        <w:rPr>
          <w:rFonts w:ascii="Arial" w:hAnsi="Arial" w:eastAsia="宋体" w:cs="Arial"/>
          <w:szCs w:val="21"/>
        </w:rPr>
      </w:pPr>
      <w:r>
        <w:rPr>
          <w:rFonts w:hint="eastAsia" w:ascii="Arial" w:hAnsi="Arial" w:eastAsia="宋体" w:cs="Arial"/>
          <w:szCs w:val="21"/>
        </w:rPr>
        <w:t>系       的法定代表人。</w:t>
      </w:r>
    </w:p>
    <w:p w14:paraId="330B0665">
      <w:pPr>
        <w:spacing w:line="360" w:lineRule="auto"/>
        <w:rPr>
          <w:rFonts w:ascii="Arial" w:hAnsi="Arial" w:eastAsia="宋体" w:cs="Arial"/>
          <w:szCs w:val="21"/>
        </w:rPr>
      </w:pPr>
      <w:r>
        <w:rPr>
          <w:rFonts w:hint="eastAsia" w:ascii="Arial" w:hAnsi="Arial" w:eastAsia="宋体" w:cs="Arial"/>
          <w:szCs w:val="21"/>
        </w:rPr>
        <w:t>特此证明</w:t>
      </w:r>
    </w:p>
    <w:p w14:paraId="1205B324">
      <w:pPr>
        <w:spacing w:line="360" w:lineRule="auto"/>
        <w:rPr>
          <w:rFonts w:ascii="Arial" w:hAnsi="Arial" w:eastAsia="宋体" w:cs="Arial"/>
          <w:szCs w:val="21"/>
        </w:rPr>
      </w:pPr>
    </w:p>
    <w:p w14:paraId="76C50CC6">
      <w:pPr>
        <w:spacing w:line="360" w:lineRule="auto"/>
        <w:rPr>
          <w:rFonts w:ascii="Arial" w:hAnsi="Arial" w:eastAsia="宋体" w:cs="Arial"/>
          <w:szCs w:val="21"/>
        </w:rPr>
      </w:pPr>
      <w:r>
        <w:rPr>
          <w:rFonts w:hint="eastAsia" w:ascii="Arial" w:hAnsi="Arial" w:eastAsia="宋体" w:cs="Arial"/>
          <w:szCs w:val="21"/>
        </w:rPr>
        <w:t>投标人（投标单位）：</w:t>
      </w:r>
    </w:p>
    <w:p w14:paraId="06CF7A7F">
      <w:pPr>
        <w:spacing w:line="360" w:lineRule="auto"/>
        <w:rPr>
          <w:rFonts w:ascii="Arial" w:hAnsi="Arial" w:eastAsia="宋体" w:cs="Arial"/>
          <w:szCs w:val="21"/>
        </w:rPr>
      </w:pPr>
      <w:r>
        <w:rPr>
          <w:rFonts w:hint="eastAsia" w:ascii="Arial" w:hAnsi="Arial" w:eastAsia="宋体" w:cs="Arial"/>
          <w:szCs w:val="21"/>
        </w:rPr>
        <w:t>日期：年月日</w:t>
      </w:r>
    </w:p>
    <w:p w14:paraId="3C3B36B1">
      <w:pPr>
        <w:spacing w:line="360" w:lineRule="auto"/>
        <w:rPr>
          <w:rFonts w:ascii="Arial" w:hAnsi="Arial" w:eastAsia="宋体" w:cs="Arial"/>
          <w:b/>
          <w:szCs w:val="21"/>
        </w:rPr>
      </w:pPr>
      <w:r>
        <w:rPr>
          <w:rFonts w:hint="eastAsia" w:ascii="Arial" w:hAnsi="Arial" w:eastAsia="宋体" w:cs="Arial"/>
          <w:szCs w:val="21"/>
        </w:rPr>
        <w:t>联系电话：手机：</w:t>
      </w:r>
      <w:r>
        <w:rPr>
          <w:rFonts w:hint="eastAsia" w:ascii="Arial" w:hAnsi="Arial" w:eastAsia="宋体" w:cs="Arial"/>
          <w:b/>
          <w:szCs w:val="21"/>
        </w:rPr>
        <w:t>（如法定代表人为投标人代表，则需填写此项）</w:t>
      </w:r>
    </w:p>
    <w:p w14:paraId="030BA74A">
      <w:pPr>
        <w:spacing w:line="360" w:lineRule="auto"/>
        <w:ind w:firstLine="480" w:firstLineChars="200"/>
        <w:rPr>
          <w:rFonts w:ascii="Arial" w:hAnsi="Arial" w:eastAsia="宋体"/>
        </w:rPr>
      </w:pPr>
    </w:p>
    <w:p w14:paraId="7AD0E763">
      <w:pPr>
        <w:spacing w:line="360" w:lineRule="auto"/>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08692DBC">
      <w:pPr>
        <w:spacing w:line="360" w:lineRule="auto"/>
        <w:rPr>
          <w:rFonts w:ascii="宋体" w:hAnsi="宋体" w:eastAsia="宋体"/>
          <w:b/>
          <w:color w:val="FF0000"/>
          <w:sz w:val="32"/>
          <w:szCs w:val="32"/>
        </w:rPr>
      </w:pPr>
    </w:p>
    <w:p w14:paraId="31F2728A">
      <w:pPr>
        <w:snapToGrid w:val="0"/>
        <w:spacing w:line="360" w:lineRule="auto"/>
        <w:rPr>
          <w:rFonts w:ascii="宋体" w:hAnsi="宋体" w:eastAsia="宋体"/>
          <w:color w:val="FF0000"/>
          <w:sz w:val="28"/>
          <w:szCs w:val="28"/>
        </w:rPr>
      </w:pPr>
      <w:r>
        <w:rPr>
          <w:rFonts w:hint="eastAsia" w:ascii="宋体" w:hAnsi="宋体" w:eastAsia="宋体"/>
          <w:color w:val="FF0000"/>
          <w:sz w:val="28"/>
          <w:szCs w:val="28"/>
        </w:rPr>
        <w:t>备注：</w:t>
      </w:r>
    </w:p>
    <w:p w14:paraId="44764EFD">
      <w:pPr>
        <w:snapToGrid w:val="0"/>
        <w:spacing w:line="360" w:lineRule="auto"/>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3630D214">
      <w:pPr>
        <w:spacing w:line="360" w:lineRule="auto"/>
        <w:ind w:firstLine="480" w:firstLineChars="200"/>
        <w:rPr>
          <w:rFonts w:ascii="Arial" w:hAnsi="Arial" w:eastAsia="宋体"/>
        </w:rPr>
      </w:pPr>
    </w:p>
    <w:p w14:paraId="4BD16B70">
      <w:pPr>
        <w:keepNext/>
        <w:keepLines/>
        <w:pageBreakBefore/>
        <w:adjustRightInd w:val="0"/>
        <w:snapToGrid w:val="0"/>
        <w:spacing w:line="360" w:lineRule="auto"/>
        <w:jc w:val="center"/>
        <w:textAlignment w:val="baseline"/>
        <w:outlineLvl w:val="4"/>
        <w:rPr>
          <w:rFonts w:ascii="宋体" w:hAnsi="宋体" w:eastAsia="宋体"/>
          <w:b/>
          <w:bCs/>
          <w:szCs w:val="20"/>
        </w:rPr>
      </w:pPr>
      <w:r>
        <w:rPr>
          <w:rFonts w:hint="eastAsia" w:ascii="宋体" w:hAnsi="宋体" w:eastAsia="宋体"/>
          <w:b/>
          <w:bCs/>
          <w:szCs w:val="20"/>
          <w:highlight w:val="green"/>
        </w:rPr>
        <w:t>2.投标文件签署授权委托书</w:t>
      </w:r>
    </w:p>
    <w:p w14:paraId="5100C46A">
      <w:pPr>
        <w:spacing w:line="360" w:lineRule="auto"/>
        <w:jc w:val="center"/>
        <w:rPr>
          <w:rFonts w:ascii="Arial" w:hAnsi="Arial" w:eastAsia="宋体"/>
          <w:b/>
          <w:sz w:val="28"/>
          <w:szCs w:val="28"/>
        </w:rPr>
      </w:pPr>
    </w:p>
    <w:p w14:paraId="66908454">
      <w:pPr>
        <w:spacing w:line="360" w:lineRule="auto"/>
        <w:ind w:left="140"/>
        <w:jc w:val="center"/>
        <w:rPr>
          <w:rFonts w:ascii="Arial" w:hAnsi="Arial" w:eastAsia="宋体" w:cs="Arial"/>
          <w:b/>
        </w:rPr>
      </w:pPr>
      <w:r>
        <w:rPr>
          <w:rFonts w:hint="eastAsia" w:ascii="Arial" w:hAnsi="Arial" w:eastAsia="宋体" w:cs="Arial"/>
          <w:b/>
        </w:rPr>
        <w:t>法定代表人授权书</w:t>
      </w:r>
    </w:p>
    <w:p w14:paraId="32D022D9">
      <w:pPr>
        <w:spacing w:line="360" w:lineRule="auto"/>
        <w:ind w:firstLine="480" w:firstLineChars="200"/>
        <w:rPr>
          <w:rFonts w:ascii="Arial" w:hAnsi="Arial" w:eastAsia="宋体"/>
          <w:szCs w:val="21"/>
        </w:rPr>
      </w:pPr>
    </w:p>
    <w:p w14:paraId="18C6D680">
      <w:pPr>
        <w:spacing w:line="360" w:lineRule="auto"/>
        <w:ind w:firstLine="480" w:firstLineChars="200"/>
        <w:rPr>
          <w:rFonts w:ascii="Arial" w:hAnsi="Arial" w:eastAsia="宋体" w:cs="Arial"/>
          <w:szCs w:val="21"/>
        </w:rPr>
      </w:pPr>
      <w:r>
        <w:rPr>
          <w:rFonts w:hint="eastAsia" w:ascii="Arial" w:hAnsi="Arial" w:eastAsia="宋体" w:cs="Arial"/>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52EBD02C">
      <w:pPr>
        <w:spacing w:line="360" w:lineRule="auto"/>
        <w:ind w:firstLine="480" w:firstLineChars="200"/>
        <w:rPr>
          <w:rFonts w:ascii="Arial" w:hAnsi="Arial" w:eastAsia="宋体" w:cs="Arial"/>
          <w:szCs w:val="21"/>
        </w:rPr>
      </w:pPr>
      <w:r>
        <w:rPr>
          <w:rFonts w:hint="eastAsia" w:ascii="Arial" w:hAnsi="Arial" w:eastAsia="宋体" w:cs="Arial"/>
          <w:szCs w:val="21"/>
        </w:rPr>
        <w:t>授权书有效期内被授权人签署的所有文件不因授权的撤销而失效。被授权人无转委托权。</w:t>
      </w:r>
    </w:p>
    <w:p w14:paraId="33703933">
      <w:pPr>
        <w:spacing w:line="360" w:lineRule="auto"/>
        <w:rPr>
          <w:rFonts w:ascii="Arial" w:hAnsi="Arial" w:eastAsia="宋体" w:cs="Arial"/>
          <w:szCs w:val="21"/>
        </w:rPr>
      </w:pPr>
    </w:p>
    <w:p w14:paraId="2A2200A6">
      <w:pPr>
        <w:spacing w:line="360" w:lineRule="auto"/>
        <w:ind w:left="3840" w:leftChars="1600"/>
        <w:rPr>
          <w:rFonts w:ascii="Arial" w:hAnsi="Arial" w:eastAsia="宋体" w:cs="Arial"/>
          <w:szCs w:val="21"/>
          <w:u w:val="single"/>
        </w:rPr>
      </w:pPr>
      <w:r>
        <w:rPr>
          <w:rFonts w:hint="eastAsia" w:ascii="Arial" w:hAnsi="Arial" w:eastAsia="宋体" w:cs="Arial"/>
          <w:szCs w:val="21"/>
        </w:rPr>
        <w:t>投标人代表：性别：</w:t>
      </w:r>
    </w:p>
    <w:p w14:paraId="6B2B3B41">
      <w:pPr>
        <w:spacing w:line="360" w:lineRule="auto"/>
        <w:ind w:left="3840" w:leftChars="1600"/>
        <w:rPr>
          <w:rFonts w:ascii="Arial" w:hAnsi="Arial" w:eastAsia="宋体" w:cs="Arial"/>
          <w:szCs w:val="21"/>
        </w:rPr>
      </w:pPr>
      <w:r>
        <w:rPr>
          <w:rFonts w:hint="eastAsia" w:ascii="Arial" w:hAnsi="Arial" w:eastAsia="宋体" w:cs="Arial"/>
          <w:szCs w:val="21"/>
        </w:rPr>
        <w:t>联系电话：手机：</w:t>
      </w:r>
    </w:p>
    <w:p w14:paraId="581F7071">
      <w:pPr>
        <w:spacing w:line="360" w:lineRule="auto"/>
        <w:ind w:left="3840" w:leftChars="1600"/>
        <w:rPr>
          <w:rFonts w:ascii="Arial" w:hAnsi="Arial" w:eastAsia="宋体" w:cs="Arial"/>
          <w:szCs w:val="21"/>
          <w:u w:val="single"/>
        </w:rPr>
      </w:pPr>
      <w:r>
        <w:rPr>
          <w:rFonts w:hint="eastAsia" w:ascii="Arial" w:hAnsi="Arial" w:eastAsia="宋体" w:cs="Arial"/>
          <w:szCs w:val="21"/>
        </w:rPr>
        <w:t>身份证号码：职务：</w:t>
      </w:r>
    </w:p>
    <w:p w14:paraId="21F4DF97">
      <w:pPr>
        <w:spacing w:line="360" w:lineRule="auto"/>
        <w:ind w:left="3840" w:leftChars="1600"/>
        <w:rPr>
          <w:rFonts w:ascii="Arial" w:hAnsi="Arial" w:eastAsia="宋体" w:cs="Arial"/>
          <w:szCs w:val="21"/>
        </w:rPr>
      </w:pPr>
      <w:r>
        <w:rPr>
          <w:rFonts w:hint="eastAsia" w:ascii="Arial" w:hAnsi="Arial" w:eastAsia="宋体" w:cs="Arial"/>
          <w:szCs w:val="21"/>
        </w:rPr>
        <w:t>投标人（投标单位）：</w:t>
      </w:r>
    </w:p>
    <w:p w14:paraId="0032096E">
      <w:pPr>
        <w:spacing w:line="360" w:lineRule="auto"/>
        <w:ind w:left="3840" w:leftChars="1600"/>
        <w:rPr>
          <w:rFonts w:ascii="Arial" w:hAnsi="Arial" w:eastAsia="宋体" w:cs="Arial"/>
          <w:szCs w:val="21"/>
        </w:rPr>
      </w:pPr>
      <w:r>
        <w:rPr>
          <w:rFonts w:hint="eastAsia" w:ascii="Arial" w:hAnsi="Arial" w:eastAsia="宋体" w:cs="Arial"/>
          <w:szCs w:val="21"/>
        </w:rPr>
        <w:t>法定代表人：</w:t>
      </w:r>
    </w:p>
    <w:p w14:paraId="6665DB18">
      <w:pPr>
        <w:spacing w:line="360" w:lineRule="auto"/>
        <w:ind w:left="3840" w:leftChars="1600"/>
        <w:rPr>
          <w:rFonts w:ascii="Arial" w:hAnsi="Arial" w:eastAsia="宋体" w:cs="Arial"/>
          <w:szCs w:val="21"/>
        </w:rPr>
      </w:pPr>
      <w:r>
        <w:rPr>
          <w:rFonts w:hint="eastAsia" w:ascii="Arial" w:hAnsi="Arial" w:eastAsia="宋体" w:cs="Arial"/>
          <w:szCs w:val="21"/>
        </w:rPr>
        <w:t>授权委托日期：年月日</w:t>
      </w:r>
    </w:p>
    <w:p w14:paraId="550AABCC">
      <w:pPr>
        <w:spacing w:line="360" w:lineRule="auto"/>
        <w:ind w:firstLine="480" w:firstLineChars="200"/>
        <w:rPr>
          <w:rFonts w:ascii="Arial" w:hAnsi="Arial" w:eastAsia="宋体"/>
        </w:rPr>
      </w:pPr>
    </w:p>
    <w:p w14:paraId="0C0C362C">
      <w:pPr>
        <w:spacing w:after="60" w:afterLines="25" w:line="360" w:lineRule="auto"/>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★必须提供投标人代表有效期内身份证的正反面扫描件（港澳台居民可提供往来通行证），非中国国籍管辖范围的，可提供公安部门认可的身份证明材料，否则将导致投标无效。</w:t>
      </w:r>
    </w:p>
    <w:p w14:paraId="42FF9F21">
      <w:pPr>
        <w:spacing w:line="480" w:lineRule="exact"/>
        <w:rPr>
          <w:rFonts w:ascii="宋体" w:hAnsi="宋体"/>
          <w:color w:val="FF0000"/>
          <w:szCs w:val="21"/>
        </w:rPr>
      </w:pPr>
      <w:r>
        <w:rPr>
          <w:rFonts w:hint="eastAsia" w:ascii="宋体" w:hAnsi="宋体" w:eastAsia="宋体"/>
          <w:b/>
          <w:color w:val="000000" w:themeColor="text1"/>
          <w:sz w:val="28"/>
          <w:szCs w:val="28"/>
          <w14:textFill>
            <w14:solidFill>
              <w14:schemeClr w14:val="tx1"/>
            </w14:solidFill>
          </w14:textFill>
        </w:rPr>
        <w:t>★</w:t>
      </w:r>
      <w:r>
        <w:rPr>
          <w:rFonts w:hint="eastAsia" w:ascii="宋体" w:hAnsi="宋体"/>
          <w:b/>
          <w:color w:val="FF0000"/>
          <w:szCs w:val="21"/>
          <w:highlight w:val="yellow"/>
        </w:rPr>
        <w:t>特别注意事项</w:t>
      </w:r>
      <w:r>
        <w:rPr>
          <w:rFonts w:hint="eastAsia" w:ascii="宋体" w:hAnsi="宋体"/>
          <w:color w:val="FF0000"/>
          <w:szCs w:val="21"/>
          <w:highlight w:val="yellow"/>
        </w:rPr>
        <w:t>：</w:t>
      </w:r>
      <w:r>
        <w:rPr>
          <w:rFonts w:hint="eastAsia" w:ascii="宋体" w:hAnsi="宋体"/>
          <w:b/>
          <w:color w:val="FF0000"/>
          <w:szCs w:val="21"/>
          <w:highlight w:val="yellow"/>
        </w:rPr>
        <w:t>供应商需提供投标授权代表人近一个月的社保证明</w:t>
      </w:r>
      <w:r>
        <w:rPr>
          <w:rFonts w:hint="eastAsia" w:ascii="宋体" w:hAnsi="宋体"/>
          <w:color w:val="FF0000"/>
          <w:szCs w:val="21"/>
          <w:highlight w:val="yellow"/>
        </w:rPr>
        <w:t>，如新成立公司或新入职员工无法提供的社保证明的，</w:t>
      </w:r>
      <w:r>
        <w:rPr>
          <w:rFonts w:hint="eastAsia" w:ascii="宋体" w:hAnsi="宋体"/>
          <w:b/>
          <w:color w:val="FF0000"/>
          <w:szCs w:val="21"/>
          <w:highlight w:val="yellow"/>
        </w:rPr>
        <w:t>应提供说明函</w:t>
      </w:r>
      <w:r>
        <w:rPr>
          <w:rFonts w:hint="eastAsia" w:ascii="宋体" w:hAnsi="宋体"/>
          <w:color w:val="FF0000"/>
          <w:szCs w:val="21"/>
          <w:highlight w:val="yellow"/>
        </w:rPr>
        <w:t>，说明投标授权代表人缴纳社保单位的情况。</w:t>
      </w:r>
    </w:p>
    <w:p w14:paraId="7E5DD734">
      <w:pPr>
        <w:spacing w:after="60" w:afterLines="25" w:line="360" w:lineRule="auto"/>
        <w:rPr>
          <w:rFonts w:ascii="宋体" w:hAnsi="宋体" w:eastAsia="宋体"/>
          <w:b/>
          <w:color w:val="000000" w:themeColor="text1"/>
          <w:sz w:val="28"/>
          <w:szCs w:val="28"/>
          <w14:textFill>
            <w14:solidFill>
              <w14:schemeClr w14:val="tx1"/>
            </w14:solidFill>
          </w14:textFill>
        </w:rPr>
      </w:pPr>
    </w:p>
    <w:p w14:paraId="4C98AD70">
      <w:pPr>
        <w:tabs>
          <w:tab w:val="left" w:pos="651"/>
        </w:tabs>
        <w:snapToGrid w:val="0"/>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备注：</w:t>
      </w:r>
    </w:p>
    <w:p w14:paraId="674427A4">
      <w:pPr>
        <w:tabs>
          <w:tab w:val="left" w:pos="651"/>
        </w:tabs>
        <w:snapToGrid w:val="0"/>
        <w:spacing w:line="360" w:lineRule="auto"/>
        <w:ind w:firstLine="48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14:textFill>
            <w14:solidFill>
              <w14:schemeClr w14:val="tx1"/>
            </w14:solidFill>
          </w14:textFill>
        </w:rPr>
        <w:t>1、若投标人代表为法定代表人则不需提供《法定代表人授权书》，但需在《法定代表人证明书》中提供法定代表人联系方式。</w:t>
      </w:r>
    </w:p>
    <w:p w14:paraId="3359E553">
      <w:pPr>
        <w:tabs>
          <w:tab w:val="left" w:pos="651"/>
        </w:tabs>
        <w:snapToGrid w:val="0"/>
        <w:spacing w:line="360" w:lineRule="auto"/>
        <w:ind w:firstLine="56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w:t>
      </w:r>
      <w:r>
        <w:rPr>
          <w:rFonts w:hint="eastAsia" w:ascii="宋体" w:hAnsi="宋体" w:eastAsia="宋体"/>
          <w:color w:val="000000" w:themeColor="text1"/>
          <w14:textFill>
            <w14:solidFill>
              <w14:schemeClr w14:val="tx1"/>
            </w14:solidFill>
          </w14:textFill>
        </w:rPr>
        <w:t>投标人代表须为投标供应商在职人员（在职期限应包括开标当日），且仅代表本投标供应商进行投标。采购人和招标机构保留对投标人代表社保情况、劳动合同等进行调查核实的权利。如发现投标人代表非投标人在职人员，视同提供虚假资料，按投标无效处理，并将依法承担相应法律责任。</w:t>
      </w:r>
    </w:p>
    <w:p w14:paraId="5EA8D08E">
      <w:pPr>
        <w:tabs>
          <w:tab w:val="left" w:pos="651"/>
        </w:tabs>
        <w:snapToGrid w:val="0"/>
        <w:spacing w:line="360" w:lineRule="auto"/>
        <w:ind w:firstLine="480" w:firstLineChars="200"/>
        <w:rPr>
          <w:rFonts w:ascii="宋体" w:hAnsi="宋体" w:eastAsia="宋体"/>
          <w:color w:val="000000" w:themeColor="text1"/>
          <w14:textFill>
            <w14:solidFill>
              <w14:schemeClr w14:val="tx1"/>
            </w14:solidFill>
          </w14:textFill>
        </w:rPr>
      </w:pPr>
    </w:p>
    <w:p w14:paraId="1A871C15">
      <w:pPr>
        <w:spacing w:after="120"/>
        <w:rPr>
          <w:rFonts w:ascii="宋体" w:hAnsi="宋体"/>
          <w:b/>
          <w:color w:val="FF0000"/>
          <w:szCs w:val="21"/>
          <w:highlight w:val="yellow"/>
        </w:rPr>
      </w:pPr>
      <w:r>
        <w:rPr>
          <w:rFonts w:hint="eastAsia"/>
          <w:b/>
          <w:color w:val="FF0000"/>
          <w:highlight w:val="yellow"/>
        </w:rPr>
        <w:t>附：</w:t>
      </w:r>
      <w:r>
        <w:rPr>
          <w:rFonts w:hint="eastAsia" w:ascii="宋体" w:hAnsi="宋体"/>
          <w:b/>
          <w:color w:val="FF0000"/>
          <w:szCs w:val="21"/>
          <w:highlight w:val="yellow"/>
        </w:rPr>
        <w:t>投标授权代表人社保证明文件</w:t>
      </w:r>
    </w:p>
    <w:p w14:paraId="2B381EF9">
      <w:pPr>
        <w:spacing w:after="120"/>
        <w:rPr>
          <w:rFonts w:ascii="宋体" w:hAnsi="宋体"/>
          <w:b/>
          <w:color w:val="FF0000"/>
          <w:szCs w:val="21"/>
        </w:rPr>
      </w:pPr>
    </w:p>
    <w:p w14:paraId="7C2B985A">
      <w:pPr>
        <w:spacing w:after="120"/>
        <w:rPr>
          <w:rFonts w:ascii="宋体" w:hAnsi="宋体"/>
          <w:b/>
          <w:color w:val="FF0000"/>
          <w:szCs w:val="21"/>
        </w:rPr>
      </w:pPr>
      <w:r>
        <w:rPr>
          <w:rFonts w:ascii="宋体" w:hAnsi="宋体"/>
          <w:b/>
          <w:color w:val="FF0000"/>
          <w:szCs w:val="21"/>
          <w:highlight w:val="yellow"/>
        </w:rPr>
        <w:t>（</w:t>
      </w:r>
      <w:r>
        <w:rPr>
          <w:rFonts w:hint="eastAsia" w:ascii="宋体" w:hAnsi="宋体"/>
          <w:b/>
          <w:color w:val="FF0000"/>
          <w:szCs w:val="21"/>
          <w:highlight w:val="yellow"/>
        </w:rPr>
        <w:t>说明：投标授权代表人社保证明文件仅做为核查供应商是否存在《深圳经济特区政府采购条例实施细则》第七十九条规定的“项目投标授权代表人不得在同一单位或者在同一单位缴纳社会保险”的情形，该证明文件不做为废标条款。投标供应商应知悉《深圳经济特区政府采购条例实施细则》第七十九条的规定，如供应商未提供投标授权代表人社保证明文件，且出现“项目投标授权代表人在同一单位或者在同一单位缴纳社会保险”情形的，投标供应商应承担相应的法律责任。</w:t>
      </w:r>
      <w:r>
        <w:rPr>
          <w:rFonts w:ascii="宋体" w:hAnsi="宋体"/>
          <w:b/>
          <w:color w:val="FF0000"/>
          <w:szCs w:val="21"/>
          <w:highlight w:val="yellow"/>
        </w:rPr>
        <w:t>）</w:t>
      </w:r>
    </w:p>
    <w:p w14:paraId="3BE9D4B5">
      <w:pPr>
        <w:spacing w:after="120"/>
      </w:pPr>
    </w:p>
    <w:p w14:paraId="716531EE">
      <w:pPr>
        <w:spacing w:after="120"/>
      </w:pPr>
    </w:p>
    <w:p w14:paraId="3DDAEB90">
      <w:pPr>
        <w:spacing w:after="120"/>
      </w:pPr>
      <w:r>
        <w:rPr>
          <w:rFonts w:hint="eastAsia"/>
        </w:rPr>
        <w:t>附：说明函（</w:t>
      </w:r>
      <w:r>
        <w:rPr>
          <w:rFonts w:hint="eastAsia"/>
          <w:color w:val="FF0000"/>
          <w:highlight w:val="yellow"/>
        </w:rPr>
        <w:t>如已提供社保证明，则无需提供说明函</w:t>
      </w:r>
      <w:r>
        <w:rPr>
          <w:rFonts w:hint="eastAsia"/>
        </w:rPr>
        <w:t>）</w:t>
      </w:r>
    </w:p>
    <w:p w14:paraId="0451F247">
      <w:pPr>
        <w:spacing w:after="120"/>
      </w:pPr>
    </w:p>
    <w:p w14:paraId="34CC8CA8">
      <w:pPr>
        <w:spacing w:after="120"/>
        <w:jc w:val="center"/>
        <w:rPr>
          <w:b/>
          <w:sz w:val="28"/>
          <w:szCs w:val="28"/>
        </w:rPr>
      </w:pPr>
      <w:r>
        <w:rPr>
          <w:rFonts w:hint="eastAsia"/>
          <w:b/>
          <w:sz w:val="28"/>
          <w:szCs w:val="28"/>
        </w:rPr>
        <w:t>说明函</w:t>
      </w:r>
    </w:p>
    <w:p w14:paraId="5A3695F5">
      <w:pPr>
        <w:spacing w:after="120"/>
      </w:pPr>
    </w:p>
    <w:p w14:paraId="03311062">
      <w:pPr>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招标代理机构</w:t>
      </w:r>
    </w:p>
    <w:p w14:paraId="279B1A4F">
      <w:pPr>
        <w:spacing w:line="360" w:lineRule="auto"/>
        <w:ind w:firstLine="480" w:firstLineChars="200"/>
        <w:rPr>
          <w:rFonts w:ascii="宋体" w:hAnsi="宋体"/>
          <w:color w:val="000000"/>
          <w:szCs w:val="21"/>
        </w:rPr>
      </w:pPr>
      <w:r>
        <w:rPr>
          <w:rFonts w:hint="eastAsia" w:ascii="宋体" w:hAnsi="宋体"/>
          <w:color w:val="000000"/>
          <w:szCs w:val="21"/>
          <w:u w:val="single"/>
        </w:rPr>
        <w:t xml:space="preserve">  （姓名，性别，身份证号码）   </w:t>
      </w:r>
      <w:r>
        <w:rPr>
          <w:rFonts w:hint="eastAsia" w:ascii="宋体" w:hAnsi="宋体"/>
          <w:color w:val="000000"/>
          <w:szCs w:val="21"/>
        </w:rPr>
        <w:t>同志，为</w:t>
      </w:r>
      <w:r>
        <w:rPr>
          <w:rFonts w:hint="eastAsia"/>
          <w:szCs w:val="21"/>
        </w:rPr>
        <w:t>我公司签署本项目已递交的投标文件的法定代表人的投标授权代表人</w:t>
      </w:r>
      <w:r>
        <w:rPr>
          <w:rFonts w:hint="eastAsia" w:ascii="宋体" w:hAnsi="宋体"/>
          <w:color w:val="000000"/>
          <w:szCs w:val="21"/>
        </w:rPr>
        <w:t>，为</w:t>
      </w:r>
      <w:r>
        <w:rPr>
          <w:rFonts w:hint="eastAsia" w:ascii="宋体" w:hAnsi="宋体"/>
          <w:color w:val="000000"/>
          <w:szCs w:val="21"/>
          <w:u w:val="single"/>
        </w:rPr>
        <w:t xml:space="preserve">   （公司名称）（如</w:t>
      </w:r>
      <w:r>
        <w:rPr>
          <w:rFonts w:hint="eastAsia"/>
          <w:szCs w:val="21"/>
          <w:u w:val="single"/>
        </w:rPr>
        <w:t>投标授权代表人</w:t>
      </w:r>
      <w:r>
        <w:rPr>
          <w:rFonts w:hint="eastAsia" w:ascii="宋体" w:hAnsi="宋体"/>
          <w:color w:val="000000"/>
          <w:szCs w:val="21"/>
          <w:u w:val="single"/>
        </w:rPr>
        <w:t xml:space="preserve">属于个人缴纳社保的，则填写：个人缴纳 即可）    </w:t>
      </w:r>
      <w:r>
        <w:rPr>
          <w:rFonts w:hint="eastAsia" w:ascii="宋体" w:hAnsi="宋体"/>
          <w:color w:val="000000"/>
          <w:szCs w:val="21"/>
        </w:rPr>
        <w:t>的员工。</w:t>
      </w:r>
    </w:p>
    <w:p w14:paraId="26E1633C">
      <w:pPr>
        <w:spacing w:line="360" w:lineRule="auto"/>
      </w:pPr>
      <w:r>
        <w:rPr>
          <w:rFonts w:hint="eastAsia" w:ascii="宋体" w:hAnsi="宋体"/>
          <w:color w:val="000000"/>
          <w:szCs w:val="21"/>
        </w:rPr>
        <w:t>　　特此说明。</w:t>
      </w:r>
    </w:p>
    <w:p w14:paraId="1447BF02">
      <w:pPr>
        <w:spacing w:line="360" w:lineRule="auto"/>
        <w:ind w:firstLine="484" w:firstLineChars="202"/>
        <w:rPr>
          <w:rFonts w:ascii="宋体" w:hAnsi="宋体"/>
          <w:color w:val="000000"/>
          <w:szCs w:val="21"/>
        </w:rPr>
      </w:pPr>
    </w:p>
    <w:p w14:paraId="6FC08350">
      <w:pPr>
        <w:spacing w:after="120"/>
      </w:pPr>
    </w:p>
    <w:p w14:paraId="0C53EED8">
      <w:pPr>
        <w:tabs>
          <w:tab w:val="left" w:pos="840"/>
        </w:tabs>
        <w:spacing w:line="360" w:lineRule="auto"/>
        <w:rPr>
          <w:rFonts w:ascii="宋体" w:hAnsi="宋体"/>
          <w:color w:val="000000"/>
          <w:szCs w:val="21"/>
        </w:rPr>
      </w:pPr>
    </w:p>
    <w:p w14:paraId="376B8388">
      <w:pPr>
        <w:adjustRightInd w:val="0"/>
        <w:snapToGrid w:val="0"/>
        <w:spacing w:line="360" w:lineRule="auto"/>
        <w:rPr>
          <w:rFonts w:ascii="宋体" w:hAnsi="宋体"/>
          <w:color w:val="000000"/>
          <w:szCs w:val="21"/>
        </w:rPr>
      </w:pPr>
      <w:r>
        <w:rPr>
          <w:rFonts w:hint="eastAsia" w:ascii="宋体" w:hAnsi="宋体"/>
          <w:color w:val="000000"/>
          <w:szCs w:val="21"/>
        </w:rPr>
        <w:t>投标人法定代表人（或法定代表人授权代表）签字：</w:t>
      </w:r>
    </w:p>
    <w:p w14:paraId="2B40A2FD">
      <w:pPr>
        <w:adjustRightInd w:val="0"/>
        <w:snapToGrid w:val="0"/>
        <w:spacing w:line="360" w:lineRule="auto"/>
        <w:rPr>
          <w:rFonts w:ascii="宋体" w:hAnsi="宋体"/>
          <w:color w:val="000000"/>
          <w:szCs w:val="21"/>
          <w:u w:val="single"/>
        </w:rPr>
      </w:pPr>
      <w:r>
        <w:rPr>
          <w:rFonts w:hint="eastAsia" w:ascii="宋体" w:hAnsi="宋体"/>
          <w:color w:val="000000"/>
          <w:szCs w:val="21"/>
        </w:rPr>
        <w:t>投标人名称（签章）：</w:t>
      </w:r>
    </w:p>
    <w:p w14:paraId="5C35422E">
      <w:pPr>
        <w:adjustRightInd w:val="0"/>
        <w:snapToGrid w:val="0"/>
        <w:spacing w:line="360" w:lineRule="auto"/>
        <w:rPr>
          <w:rFonts w:ascii="宋体" w:hAnsi="宋体"/>
          <w:color w:val="000000"/>
          <w:szCs w:val="21"/>
        </w:rPr>
      </w:pPr>
      <w:r>
        <w:rPr>
          <w:rFonts w:hint="eastAsia" w:ascii="宋体" w:hAnsi="宋体"/>
          <w:color w:val="000000"/>
          <w:szCs w:val="21"/>
        </w:rPr>
        <w:t>日期：年 月 日</w:t>
      </w:r>
    </w:p>
    <w:p w14:paraId="11174116">
      <w:pPr>
        <w:pStyle w:val="34"/>
        <w:rPr>
          <w:szCs w:val="20"/>
        </w:rPr>
      </w:pPr>
      <w:r>
        <w:br w:type="page"/>
      </w:r>
      <w:r>
        <w:rPr>
          <w:rFonts w:hint="eastAsia"/>
        </w:rPr>
        <w:t>3. 商务（服务）条款偏离表</w:t>
      </w:r>
    </w:p>
    <w:p w14:paraId="7B52E3BB">
      <w:pPr>
        <w:snapToGrid w:val="0"/>
        <w:spacing w:line="360" w:lineRule="auto"/>
        <w:rPr>
          <w:rFonts w:ascii="Arial" w:hAnsi="Arial" w:eastAsia="宋体" w:cs="Arial"/>
          <w:color w:val="000000"/>
          <w:u w:val="single"/>
        </w:rPr>
      </w:pPr>
      <w:r>
        <w:rPr>
          <w:rFonts w:hint="eastAsia" w:ascii="Arial" w:hAnsi="Arial" w:eastAsia="宋体" w:cs="Arial"/>
          <w:color w:val="000000"/>
        </w:rPr>
        <w:t>投标单位（投标人）名称：</w:t>
      </w:r>
    </w:p>
    <w:p w14:paraId="11EF0BFF">
      <w:pPr>
        <w:snapToGrid w:val="0"/>
        <w:spacing w:line="360" w:lineRule="auto"/>
        <w:rPr>
          <w:rFonts w:ascii="Arial" w:hAnsi="Arial" w:eastAsia="宋体" w:cs="Arial"/>
        </w:rPr>
      </w:pPr>
    </w:p>
    <w:tbl>
      <w:tblPr>
        <w:tblStyle w:val="45"/>
        <w:tblW w:w="91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7A6562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738D9F22">
            <w:pPr>
              <w:spacing w:line="360" w:lineRule="auto"/>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2D8AD7D5">
            <w:pPr>
              <w:spacing w:line="360" w:lineRule="auto"/>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2B21E62F">
            <w:pPr>
              <w:spacing w:line="360" w:lineRule="auto"/>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3B637078">
            <w:pPr>
              <w:spacing w:line="360" w:lineRule="auto"/>
              <w:jc w:val="center"/>
              <w:rPr>
                <w:rFonts w:ascii="宋体" w:hAnsi="宋体" w:eastAsia="宋体" w:cs="Arial"/>
                <w:b/>
                <w:szCs w:val="21"/>
              </w:rPr>
            </w:pPr>
            <w:r>
              <w:rPr>
                <w:rFonts w:hint="eastAsia" w:ascii="宋体" w:hAnsi="宋体" w:eastAsia="宋体" w:cs="Arial"/>
                <w:b/>
                <w:szCs w:val="21"/>
              </w:rPr>
              <w:t>偏离情况</w:t>
            </w:r>
          </w:p>
        </w:tc>
      </w:tr>
      <w:tr w14:paraId="62EF3C0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50C04FB">
            <w:pPr>
              <w:spacing w:line="360" w:lineRule="auto"/>
              <w:jc w:val="center"/>
              <w:rPr>
                <w:rFonts w:ascii="Arial" w:hAnsi="Arial" w:eastAsia="宋体"/>
              </w:rPr>
            </w:pPr>
            <w:r>
              <w:rPr>
                <w:rFonts w:hint="eastAsia" w:ascii="Arial" w:hAnsi="Arial" w:eastAsia="宋体"/>
              </w:rPr>
              <w:t>1</w:t>
            </w:r>
          </w:p>
        </w:tc>
        <w:tc>
          <w:tcPr>
            <w:tcW w:w="3901" w:type="dxa"/>
            <w:vAlign w:val="center"/>
          </w:tcPr>
          <w:p w14:paraId="61929502">
            <w:pPr>
              <w:spacing w:line="36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37B6EDC2">
            <w:pPr>
              <w:spacing w:line="360" w:lineRule="auto"/>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15EF122C">
            <w:pPr>
              <w:spacing w:line="360" w:lineRule="auto"/>
              <w:rPr>
                <w:rFonts w:ascii="宋体" w:hAnsi="宋体" w:eastAsia="宋体" w:cs="Arial"/>
                <w:szCs w:val="21"/>
              </w:rPr>
            </w:pPr>
            <w:r>
              <w:rPr>
                <w:rFonts w:hint="eastAsia" w:ascii="宋体" w:hAnsi="宋体" w:eastAsia="宋体" w:cs="Arial"/>
                <w:szCs w:val="21"/>
              </w:rPr>
              <w:t>无偏离</w:t>
            </w:r>
          </w:p>
        </w:tc>
      </w:tr>
      <w:tr w14:paraId="435D8FB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DD5C7E4">
            <w:pPr>
              <w:spacing w:line="360" w:lineRule="auto"/>
              <w:jc w:val="center"/>
              <w:rPr>
                <w:rFonts w:ascii="Arial" w:hAnsi="Arial" w:eastAsia="宋体"/>
              </w:rPr>
            </w:pPr>
            <w:r>
              <w:rPr>
                <w:rFonts w:hint="eastAsia" w:ascii="Arial" w:hAnsi="Arial" w:eastAsia="宋体"/>
              </w:rPr>
              <w:t>2</w:t>
            </w:r>
          </w:p>
        </w:tc>
        <w:tc>
          <w:tcPr>
            <w:tcW w:w="3901" w:type="dxa"/>
            <w:vAlign w:val="center"/>
          </w:tcPr>
          <w:p w14:paraId="5143C12B">
            <w:pPr>
              <w:spacing w:line="360" w:lineRule="auto"/>
              <w:rPr>
                <w:rFonts w:ascii="Arial" w:hAnsi="Arial" w:eastAsia="宋体"/>
              </w:rPr>
            </w:pPr>
            <w:r>
              <w:rPr>
                <w:rFonts w:hint="eastAsia" w:ascii="宋体" w:hAnsi="宋体" w:eastAsia="宋体"/>
                <w:b/>
                <w:szCs w:val="21"/>
              </w:rPr>
              <w:t>《第三章 用户需求书：三、商务和服务条款部分》中所有非带★号条款要求。</w:t>
            </w:r>
          </w:p>
        </w:tc>
        <w:tc>
          <w:tcPr>
            <w:tcW w:w="3414" w:type="dxa"/>
            <w:vAlign w:val="center"/>
          </w:tcPr>
          <w:p w14:paraId="35FB6DB2">
            <w:pPr>
              <w:spacing w:line="360" w:lineRule="auto"/>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27049F99">
            <w:pPr>
              <w:spacing w:line="360" w:lineRule="auto"/>
              <w:rPr>
                <w:rFonts w:ascii="宋体" w:hAnsi="宋体" w:eastAsia="宋体" w:cs="Arial"/>
                <w:szCs w:val="21"/>
              </w:rPr>
            </w:pPr>
            <w:r>
              <w:rPr>
                <w:rFonts w:hint="eastAsia" w:ascii="宋体" w:hAnsi="宋体" w:eastAsia="宋体" w:cs="Arial"/>
                <w:szCs w:val="21"/>
              </w:rPr>
              <w:t>无偏离</w:t>
            </w:r>
          </w:p>
        </w:tc>
      </w:tr>
    </w:tbl>
    <w:p w14:paraId="1B46EEDF">
      <w:pPr>
        <w:snapToGrid w:val="0"/>
        <w:spacing w:line="360" w:lineRule="auto"/>
        <w:rPr>
          <w:rFonts w:asciiTheme="minorEastAsia" w:hAnsiTheme="minorEastAsia"/>
          <w:b/>
        </w:rPr>
      </w:pPr>
    </w:p>
    <w:p w14:paraId="3750BCB6">
      <w:pPr>
        <w:snapToGrid w:val="0"/>
        <w:spacing w:line="360" w:lineRule="auto"/>
        <w:rPr>
          <w:rFonts w:asciiTheme="minorEastAsia" w:hAnsiTheme="minorEastAsia"/>
          <w:b/>
        </w:rPr>
      </w:pPr>
      <w:r>
        <w:rPr>
          <w:rFonts w:hint="eastAsia" w:ascii="宋体" w:hAnsi="宋体" w:eastAsia="宋体"/>
          <w:b/>
        </w:rPr>
        <w:t>填写说明：</w:t>
      </w:r>
    </w:p>
    <w:p w14:paraId="0E6CB7D1">
      <w:pPr>
        <w:numPr>
          <w:ilvl w:val="0"/>
          <w:numId w:val="5"/>
        </w:numPr>
        <w:snapToGrid w:val="0"/>
        <w:spacing w:after="60" w:afterLines="25" w:line="360" w:lineRule="auto"/>
        <w:rPr>
          <w:rFonts w:asciiTheme="majorEastAsia" w:hAnsiTheme="majorEastAsia" w:eastAsiaTheme="majorEastAsia"/>
        </w:rPr>
      </w:pPr>
      <w:r>
        <w:rPr>
          <w:rFonts w:hint="eastAsia" w:asciiTheme="majorEastAsia" w:hAnsiTheme="majorEastAsia" w:eastAsiaTheme="majorEastAsia"/>
        </w:rPr>
        <w:t>如投标人完全响应满足本表【招标文件要求】栏中内容的，建议投标人在对应的【投标文件响应】栏中填写“我公司完全响应满足招标文件中此项要求”即可，除招标文件另有注明外，不强制要求逐条列出响应；</w:t>
      </w:r>
    </w:p>
    <w:p w14:paraId="6B6BAC39">
      <w:pPr>
        <w:numPr>
          <w:ilvl w:val="0"/>
          <w:numId w:val="5"/>
        </w:numPr>
        <w:snapToGrid w:val="0"/>
        <w:spacing w:after="60" w:afterLines="25" w:line="360" w:lineRule="auto"/>
        <w:rPr>
          <w:rFonts w:asciiTheme="majorEastAsia" w:hAnsiTheme="majorEastAsia" w:eastAsiaTheme="majorEastAsia"/>
        </w:rPr>
      </w:pPr>
      <w:r>
        <w:rPr>
          <w:rFonts w:hint="eastAsia" w:asciiTheme="majorEastAsia" w:hAnsiTheme="majorEastAsia" w:eastAsiaTheme="majorEastAsia"/>
        </w:rPr>
        <w:t>如投标人响应情况优于或低于招标要求的，应在【投标文件响应】栏中作详细说明，如完全满足或符合招标文件要求的则无需说明，参照上一条填写内容即可，</w:t>
      </w:r>
      <w:r>
        <w:rPr>
          <w:rFonts w:asciiTheme="majorEastAsia" w:hAnsiTheme="majorEastAsia" w:eastAsiaTheme="majorEastAsia"/>
        </w:rPr>
        <w:t>评标委员会将根据具体情况给予是否偏离的认定，并以此认定</w:t>
      </w:r>
      <w:r>
        <w:rPr>
          <w:rFonts w:hint="eastAsia" w:asciiTheme="majorEastAsia" w:hAnsiTheme="majorEastAsia" w:eastAsiaTheme="majorEastAsia"/>
        </w:rPr>
        <w:t>标准</w:t>
      </w:r>
      <w:r>
        <w:rPr>
          <w:rFonts w:asciiTheme="majorEastAsia" w:hAnsiTheme="majorEastAsia" w:eastAsiaTheme="majorEastAsia"/>
        </w:rPr>
        <w:t>为最终评判标准</w:t>
      </w:r>
      <w:r>
        <w:rPr>
          <w:rFonts w:hint="eastAsia" w:asciiTheme="majorEastAsia" w:hAnsiTheme="majorEastAsia" w:eastAsiaTheme="majorEastAsia"/>
        </w:rPr>
        <w:t>；</w:t>
      </w:r>
    </w:p>
    <w:p w14:paraId="71BE7B38">
      <w:pPr>
        <w:numPr>
          <w:ilvl w:val="0"/>
          <w:numId w:val="5"/>
        </w:numPr>
        <w:snapToGrid w:val="0"/>
        <w:spacing w:after="60" w:afterLines="25" w:line="360" w:lineRule="auto"/>
        <w:rPr>
          <w:rFonts w:asciiTheme="majorEastAsia" w:hAnsiTheme="majorEastAsia" w:eastAsiaTheme="majorEastAsia"/>
          <w:b/>
        </w:rPr>
      </w:pPr>
      <w:r>
        <w:rPr>
          <w:rFonts w:hint="eastAsia" w:asciiTheme="majorEastAsia" w:hAnsiTheme="majorEastAsia" w:eastAsiaTheme="majorEastAsia"/>
          <w:b/>
        </w:rPr>
        <w:t>偏离情况一栏填写“正偏离”“负偏离”“无偏离”，正偏离为优于招标要求，负偏离为低于招标要求，无偏离为满足招标要求。</w:t>
      </w:r>
    </w:p>
    <w:p w14:paraId="7108B0B5">
      <w:pPr>
        <w:numPr>
          <w:ilvl w:val="0"/>
          <w:numId w:val="5"/>
        </w:numPr>
        <w:snapToGrid w:val="0"/>
        <w:spacing w:after="60" w:afterLines="25" w:line="360" w:lineRule="auto"/>
        <w:rPr>
          <w:rFonts w:asciiTheme="majorEastAsia" w:hAnsiTheme="majorEastAsia" w:eastAsiaTheme="majorEastAsia"/>
          <w:b/>
        </w:rPr>
      </w:pPr>
      <w:r>
        <w:rPr>
          <w:rFonts w:hint="eastAsia" w:ascii="宋体" w:hAnsi="宋体" w:eastAsia="宋体"/>
          <w:b/>
          <w:color w:val="FF0000"/>
        </w:rPr>
        <w:t>带★号条款为不可偏离条款，如未响应或出现负偏离的，将作投标无效处理。</w:t>
      </w:r>
    </w:p>
    <w:p w14:paraId="1028AA7E"/>
    <w:p w14:paraId="77CCACA1"/>
    <w:p w14:paraId="731D3029"/>
    <w:p w14:paraId="681BDAE0"/>
    <w:p w14:paraId="3153F903"/>
    <w:p w14:paraId="2DD0AC55"/>
    <w:p w14:paraId="52C5B418"/>
    <w:p w14:paraId="4A210800">
      <w:pPr>
        <w:pStyle w:val="34"/>
        <w:rPr>
          <w:rFonts w:ascii="宋体" w:hAnsi="宋体"/>
          <w:szCs w:val="21"/>
        </w:rPr>
      </w:pPr>
      <w:r>
        <w:rPr>
          <w:rFonts w:hint="eastAsia" w:ascii="宋体" w:hAnsi="宋体"/>
          <w:szCs w:val="21"/>
        </w:rPr>
        <w:t>4.</w:t>
      </w:r>
      <w:r>
        <w:rPr>
          <w:rFonts w:hint="eastAsia" w:ascii="宋体" w:hAnsi="宋体"/>
          <w:sz w:val="30"/>
          <w:szCs w:val="30"/>
        </w:rPr>
        <w:t xml:space="preserve"> 项目总体概述及理解</w:t>
      </w:r>
    </w:p>
    <w:p w14:paraId="0377F71C">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42D44B3E">
      <w:pPr>
        <w:pStyle w:val="43"/>
        <w:ind w:firstLine="211"/>
      </w:pPr>
    </w:p>
    <w:p w14:paraId="69F7D90C">
      <w:pPr>
        <w:pStyle w:val="34"/>
        <w:rPr>
          <w:rFonts w:ascii="宋体" w:hAnsi="宋体"/>
          <w:szCs w:val="21"/>
        </w:rPr>
      </w:pPr>
      <w:r>
        <w:rPr>
          <w:rFonts w:hint="eastAsia" w:ascii="宋体" w:hAnsi="宋体"/>
          <w:szCs w:val="21"/>
        </w:rPr>
        <w:t>5.</w:t>
      </w:r>
      <w:r>
        <w:rPr>
          <w:rFonts w:hint="eastAsia" w:ascii="宋体" w:hAnsi="宋体"/>
          <w:sz w:val="30"/>
          <w:szCs w:val="30"/>
        </w:rPr>
        <w:t xml:space="preserve"> 施工组织计划、施工技术、施工工艺及相关的合理施工方案</w:t>
      </w:r>
    </w:p>
    <w:p w14:paraId="5AE069B9">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3E29B8FE">
      <w:pPr>
        <w:pStyle w:val="43"/>
        <w:ind w:firstLine="211"/>
      </w:pPr>
    </w:p>
    <w:p w14:paraId="1E68745A">
      <w:pPr>
        <w:pStyle w:val="34"/>
        <w:rPr>
          <w:rFonts w:ascii="宋体" w:hAnsi="宋体"/>
          <w:szCs w:val="21"/>
        </w:rPr>
      </w:pPr>
      <w:r>
        <w:rPr>
          <w:rFonts w:hint="eastAsia" w:ascii="宋体" w:hAnsi="宋体"/>
          <w:szCs w:val="21"/>
        </w:rPr>
        <w:t>6.</w:t>
      </w:r>
      <w:r>
        <w:rPr>
          <w:rFonts w:hint="eastAsia" w:ascii="宋体" w:hAnsi="宋体"/>
          <w:sz w:val="30"/>
          <w:szCs w:val="30"/>
        </w:rPr>
        <w:t xml:space="preserve"> 施工质量（安全、环保、工期及售后服务等）保障措施及相关的违约承诺</w:t>
      </w:r>
    </w:p>
    <w:p w14:paraId="22BA63F2">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46C30F4D">
      <w:pPr>
        <w:pStyle w:val="43"/>
        <w:ind w:firstLine="211"/>
      </w:pPr>
    </w:p>
    <w:p w14:paraId="09E09652">
      <w:pPr>
        <w:pStyle w:val="34"/>
        <w:rPr>
          <w:rFonts w:ascii="宋体" w:hAnsi="宋体"/>
          <w:szCs w:val="21"/>
        </w:rPr>
      </w:pPr>
      <w:r>
        <w:rPr>
          <w:rFonts w:hint="eastAsia" w:ascii="宋体" w:hAnsi="宋体"/>
          <w:szCs w:val="21"/>
        </w:rPr>
        <w:t>7.</w:t>
      </w:r>
      <w:r>
        <w:rPr>
          <w:rFonts w:hint="eastAsia" w:ascii="宋体" w:hAnsi="宋体"/>
          <w:sz w:val="30"/>
          <w:szCs w:val="30"/>
        </w:rPr>
        <w:t xml:space="preserve"> 项目实施关键施工技术（重点难点）分析及解决方案</w:t>
      </w:r>
    </w:p>
    <w:p w14:paraId="5C5B76CA">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3D6D6228">
      <w:pPr>
        <w:pStyle w:val="43"/>
        <w:ind w:firstLine="211"/>
      </w:pPr>
    </w:p>
    <w:p w14:paraId="5067A833">
      <w:pPr>
        <w:pStyle w:val="34"/>
        <w:rPr>
          <w:rFonts w:ascii="宋体" w:hAnsi="宋体"/>
          <w:szCs w:val="21"/>
        </w:rPr>
      </w:pPr>
      <w:r>
        <w:rPr>
          <w:rFonts w:hint="eastAsia" w:ascii="宋体" w:hAnsi="宋体"/>
          <w:szCs w:val="21"/>
        </w:rPr>
        <w:t>8.</w:t>
      </w:r>
      <w:r>
        <w:rPr>
          <w:rFonts w:hint="eastAsia" w:ascii="宋体" w:hAnsi="宋体"/>
          <w:sz w:val="30"/>
          <w:szCs w:val="30"/>
        </w:rPr>
        <w:t xml:space="preserve"> 拟采用设备（材料）的性能（节能环保情况）、档次及质量可靠性</w:t>
      </w:r>
    </w:p>
    <w:p w14:paraId="7CF4529F">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334C594C">
      <w:pPr>
        <w:pStyle w:val="43"/>
        <w:ind w:firstLine="211"/>
      </w:pPr>
    </w:p>
    <w:p w14:paraId="39EC50A4">
      <w:pPr>
        <w:pStyle w:val="34"/>
        <w:rPr>
          <w:rFonts w:ascii="宋体" w:hAnsi="宋体"/>
          <w:szCs w:val="21"/>
        </w:rPr>
      </w:pPr>
      <w:r>
        <w:rPr>
          <w:rFonts w:hint="eastAsia" w:ascii="宋体" w:hAnsi="宋体"/>
          <w:szCs w:val="21"/>
        </w:rPr>
        <w:t>9.</w:t>
      </w:r>
      <w:r>
        <w:rPr>
          <w:rFonts w:hint="eastAsia" w:ascii="宋体" w:hAnsi="宋体"/>
          <w:sz w:val="30"/>
          <w:szCs w:val="30"/>
        </w:rPr>
        <w:t xml:space="preserve"> 应急响应及服务承诺及维护保养方案</w:t>
      </w:r>
    </w:p>
    <w:p w14:paraId="0541A3DE">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04751E1B">
      <w:pPr>
        <w:pStyle w:val="43"/>
        <w:ind w:firstLine="211"/>
      </w:pPr>
    </w:p>
    <w:p w14:paraId="4A2C6853">
      <w:pPr>
        <w:pStyle w:val="34"/>
        <w:rPr>
          <w:rFonts w:ascii="宋体" w:hAnsi="宋体"/>
          <w:szCs w:val="21"/>
        </w:rPr>
      </w:pPr>
      <w:r>
        <w:rPr>
          <w:rFonts w:hint="eastAsia" w:ascii="宋体" w:hAnsi="宋体"/>
          <w:szCs w:val="21"/>
        </w:rPr>
        <w:t>10.</w:t>
      </w:r>
      <w:r>
        <w:rPr>
          <w:rFonts w:hint="eastAsia" w:ascii="宋体" w:hAnsi="宋体"/>
          <w:sz w:val="30"/>
          <w:szCs w:val="30"/>
        </w:rPr>
        <w:t xml:space="preserve"> 同类业绩</w:t>
      </w:r>
    </w:p>
    <w:p w14:paraId="59894636">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1CEF180A">
      <w:pPr>
        <w:pStyle w:val="43"/>
        <w:ind w:firstLine="211"/>
      </w:pPr>
    </w:p>
    <w:p w14:paraId="626F307F">
      <w:pPr>
        <w:pStyle w:val="34"/>
        <w:rPr>
          <w:rFonts w:ascii="宋体" w:hAnsi="宋体"/>
          <w:szCs w:val="21"/>
        </w:rPr>
      </w:pPr>
      <w:r>
        <w:rPr>
          <w:rFonts w:hint="eastAsia" w:ascii="宋体" w:hAnsi="宋体"/>
          <w:szCs w:val="21"/>
        </w:rPr>
        <w:t>11.</w:t>
      </w:r>
      <w:r>
        <w:rPr>
          <w:rFonts w:hint="eastAsia" w:ascii="宋体" w:hAnsi="宋体"/>
          <w:sz w:val="30"/>
          <w:szCs w:val="30"/>
        </w:rPr>
        <w:t xml:space="preserve"> 履约评价</w:t>
      </w:r>
    </w:p>
    <w:p w14:paraId="55449D92">
      <w:pPr>
        <w:spacing w:after="60" w:afterLines="25" w:line="360" w:lineRule="auto"/>
        <w:jc w:val="center"/>
        <w:rPr>
          <w:rFonts w:ascii="Arial" w:hAnsi="Arial" w:eastAsia="宋体"/>
          <w:b/>
        </w:rPr>
      </w:pPr>
      <w:r>
        <w:rPr>
          <w:rFonts w:hint="eastAsia" w:ascii="Arial" w:hAnsi="Arial" w:eastAsia="宋体"/>
          <w:b/>
        </w:rPr>
        <w:t>（本章未提供的招标要求的其他文件格式由供应商自拟）</w:t>
      </w:r>
    </w:p>
    <w:p w14:paraId="1B7CA870">
      <w:pPr>
        <w:pStyle w:val="43"/>
        <w:ind w:firstLine="211"/>
      </w:pPr>
    </w:p>
    <w:p w14:paraId="6B548823">
      <w:pPr>
        <w:pStyle w:val="34"/>
        <w:rPr>
          <w:rFonts w:ascii="宋体" w:hAnsi="宋体"/>
          <w:szCs w:val="21"/>
        </w:rPr>
      </w:pPr>
      <w:r>
        <w:rPr>
          <w:rFonts w:hint="eastAsia" w:ascii="宋体" w:hAnsi="宋体"/>
          <w:szCs w:val="21"/>
        </w:rPr>
        <w:t xml:space="preserve">12. </w:t>
      </w:r>
      <w:r>
        <w:rPr>
          <w:rFonts w:hint="eastAsia" w:ascii="宋体" w:hAnsi="宋体"/>
          <w:sz w:val="30"/>
          <w:szCs w:val="30"/>
        </w:rPr>
        <w:t>其他招标文件要求或投标人认为需要补充的内容</w:t>
      </w:r>
    </w:p>
    <w:p w14:paraId="60D66272">
      <w:pPr>
        <w:spacing w:after="60" w:afterLines="25" w:line="360" w:lineRule="auto"/>
        <w:jc w:val="center"/>
        <w:rPr>
          <w:rFonts w:hint="eastAsia" w:ascii="Arial" w:hAnsi="Arial" w:eastAsia="宋体"/>
          <w:b/>
        </w:rPr>
      </w:pPr>
      <w:r>
        <w:rPr>
          <w:rFonts w:hint="eastAsia" w:ascii="Arial" w:hAnsi="Arial" w:eastAsia="宋体"/>
          <w:b/>
        </w:rPr>
        <w:t>（本章未提供的招标要求的其他文件格式由供应商自拟）</w:t>
      </w:r>
    </w:p>
    <w:tbl>
      <w:tblPr>
        <w:tblStyle w:val="45"/>
        <w:tblW w:w="10906" w:type="dxa"/>
        <w:jc w:val="center"/>
        <w:tblLayout w:type="fixed"/>
        <w:tblCellMar>
          <w:top w:w="0" w:type="dxa"/>
          <w:left w:w="108" w:type="dxa"/>
          <w:bottom w:w="0" w:type="dxa"/>
          <w:right w:w="108" w:type="dxa"/>
        </w:tblCellMar>
      </w:tblPr>
      <w:tblGrid>
        <w:gridCol w:w="1008"/>
        <w:gridCol w:w="616"/>
        <w:gridCol w:w="1596"/>
        <w:gridCol w:w="2479"/>
        <w:gridCol w:w="744"/>
        <w:gridCol w:w="843"/>
        <w:gridCol w:w="1016"/>
        <w:gridCol w:w="2604"/>
      </w:tblGrid>
      <w:tr w14:paraId="0CDC7969">
        <w:tblPrEx>
          <w:tblCellMar>
            <w:top w:w="0" w:type="dxa"/>
            <w:left w:w="108" w:type="dxa"/>
            <w:bottom w:w="0" w:type="dxa"/>
            <w:right w:w="108" w:type="dxa"/>
          </w:tblCellMar>
        </w:tblPrEx>
        <w:trPr>
          <w:trHeight w:val="820" w:hRule="atLeast"/>
          <w:jc w:val="center"/>
        </w:trPr>
        <w:tc>
          <w:tcPr>
            <w:tcW w:w="109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BFB96B">
            <w:pPr>
              <w:widowControl/>
              <w:jc w:val="center"/>
              <w:textAlignment w:val="center"/>
              <w:rPr>
                <w:rFonts w:hint="eastAsia" w:ascii="宋体" w:hAnsi="宋体" w:eastAsia="宋体" w:cs="宋体"/>
                <w:b/>
                <w:bCs/>
                <w:color w:val="000000"/>
                <w:sz w:val="24"/>
                <w:szCs w:val="24"/>
                <w:lang w:val="en-US" w:eastAsia="zh-CN"/>
              </w:rPr>
            </w:pPr>
            <w:r>
              <w:rPr>
                <w:rFonts w:hint="eastAsia" w:ascii="宋体" w:hAnsi="宋体" w:cs="宋体"/>
                <w:b/>
                <w:bCs/>
                <w:color w:val="000000"/>
                <w:kern w:val="0"/>
                <w:sz w:val="24"/>
                <w:szCs w:val="24"/>
              </w:rPr>
              <w:t>零星修缮工程服务材料</w:t>
            </w:r>
            <w:r>
              <w:rPr>
                <w:rFonts w:hint="eastAsia" w:ascii="宋体" w:hAnsi="宋体" w:cs="宋体"/>
                <w:b/>
                <w:bCs/>
                <w:color w:val="000000"/>
                <w:kern w:val="0"/>
                <w:sz w:val="24"/>
                <w:szCs w:val="24"/>
                <w:lang w:val="en-US" w:eastAsia="zh-CN"/>
              </w:rPr>
              <w:t>报价</w:t>
            </w:r>
          </w:p>
        </w:tc>
      </w:tr>
      <w:tr w14:paraId="6F21B019">
        <w:tblPrEx>
          <w:tblCellMar>
            <w:top w:w="0" w:type="dxa"/>
            <w:left w:w="108" w:type="dxa"/>
            <w:bottom w:w="0" w:type="dxa"/>
            <w:right w:w="108" w:type="dxa"/>
          </w:tblCellMar>
        </w:tblPrEx>
        <w:trPr>
          <w:trHeight w:val="372"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8CB37">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工程类</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FB6A8">
            <w:pPr>
              <w:widowControl/>
              <w:jc w:val="center"/>
              <w:textAlignment w:val="center"/>
              <w:rPr>
                <w:rFonts w:ascii="宋体" w:hAnsi="宋体" w:cs="宋体"/>
                <w:color w:val="000000"/>
                <w:sz w:val="20"/>
              </w:rPr>
            </w:pPr>
            <w:r>
              <w:rPr>
                <w:rFonts w:hint="eastAsia" w:ascii="宋体" w:hAnsi="宋体" w:cs="宋体"/>
                <w:color w:val="000000"/>
                <w:kern w:val="0"/>
                <w:sz w:val="20"/>
              </w:rPr>
              <w:t>序号</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AB09E">
            <w:pPr>
              <w:widowControl/>
              <w:jc w:val="left"/>
              <w:textAlignment w:val="center"/>
              <w:rPr>
                <w:rFonts w:ascii="宋体" w:hAnsi="宋体" w:cs="宋体"/>
                <w:color w:val="000000"/>
                <w:sz w:val="20"/>
              </w:rPr>
            </w:pPr>
            <w:r>
              <w:rPr>
                <w:rFonts w:hint="eastAsia" w:ascii="宋体" w:hAnsi="宋体" w:cs="宋体"/>
                <w:color w:val="000000"/>
                <w:kern w:val="0"/>
                <w:sz w:val="20"/>
              </w:rPr>
              <w:t>项目名称</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250CA">
            <w:pPr>
              <w:widowControl/>
              <w:jc w:val="left"/>
              <w:textAlignment w:val="center"/>
              <w:rPr>
                <w:rFonts w:ascii="宋体" w:hAnsi="宋体" w:cs="宋体"/>
                <w:color w:val="000000"/>
                <w:sz w:val="20"/>
              </w:rPr>
            </w:pPr>
            <w:r>
              <w:rPr>
                <w:rFonts w:hint="eastAsia" w:ascii="宋体" w:hAnsi="宋体" w:cs="宋体"/>
                <w:color w:val="000000"/>
                <w:kern w:val="0"/>
                <w:sz w:val="20"/>
              </w:rPr>
              <w:t>项目特征描述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988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56437">
            <w:pPr>
              <w:widowControl/>
              <w:jc w:val="center"/>
              <w:textAlignment w:val="center"/>
              <w:rPr>
                <w:rFonts w:ascii="宋体" w:hAnsi="宋体" w:cs="宋体"/>
                <w:color w:val="000000"/>
                <w:sz w:val="20"/>
              </w:rPr>
            </w:pPr>
            <w:r>
              <w:rPr>
                <w:rFonts w:hint="eastAsia" w:ascii="宋体" w:hAnsi="宋体" w:cs="宋体"/>
                <w:color w:val="000000"/>
                <w:kern w:val="0"/>
                <w:sz w:val="20"/>
              </w:rPr>
              <w:t>工程量</w:t>
            </w:r>
          </w:p>
        </w:tc>
        <w:tc>
          <w:tcPr>
            <w:tcW w:w="36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D5BC4">
            <w:pPr>
              <w:widowControl/>
              <w:jc w:val="center"/>
              <w:textAlignment w:val="center"/>
              <w:rPr>
                <w:rFonts w:ascii="宋体" w:hAnsi="宋体" w:cs="宋体"/>
                <w:color w:val="000000"/>
                <w:sz w:val="20"/>
              </w:rPr>
            </w:pPr>
            <w:r>
              <w:rPr>
                <w:rFonts w:hint="eastAsia" w:ascii="宋体" w:hAnsi="宋体" w:cs="宋体"/>
                <w:color w:val="000000"/>
                <w:kern w:val="0"/>
                <w:sz w:val="20"/>
              </w:rPr>
              <w:t>金额(元)</w:t>
            </w:r>
          </w:p>
        </w:tc>
      </w:tr>
      <w:tr w14:paraId="76EA34A4">
        <w:tblPrEx>
          <w:tblCellMar>
            <w:top w:w="0" w:type="dxa"/>
            <w:left w:w="108" w:type="dxa"/>
            <w:bottom w:w="0" w:type="dxa"/>
            <w:right w:w="108" w:type="dxa"/>
          </w:tblCellMar>
        </w:tblPrEx>
        <w:trPr>
          <w:trHeight w:val="66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B135">
            <w:pPr>
              <w:jc w:val="center"/>
              <w:rPr>
                <w:rFonts w:ascii="宋体" w:hAnsi="宋体" w:cs="宋体"/>
                <w:b/>
                <w:bCs/>
                <w:color w:val="000000"/>
                <w:sz w:val="20"/>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59352">
            <w:pPr>
              <w:jc w:val="center"/>
              <w:rPr>
                <w:rFonts w:ascii="宋体" w:hAnsi="宋体" w:cs="宋体"/>
                <w:color w:val="000000"/>
                <w:sz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56B4E">
            <w:pPr>
              <w:jc w:val="left"/>
              <w:rPr>
                <w:rFonts w:ascii="宋体" w:hAnsi="宋体" w:cs="宋体"/>
                <w:color w:val="000000"/>
                <w:sz w:val="20"/>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D4B11">
            <w:pPr>
              <w:jc w:val="left"/>
              <w:rPr>
                <w:rFonts w:ascii="宋体" w:hAnsi="宋体" w:cs="宋体"/>
                <w:color w:val="000000"/>
                <w:sz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035DE">
            <w:pPr>
              <w:jc w:val="center"/>
              <w:rPr>
                <w:rFonts w:ascii="宋体" w:hAnsi="宋体" w:cs="宋体"/>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8E4F">
            <w:pPr>
              <w:jc w:val="center"/>
              <w:rPr>
                <w:rFonts w:ascii="宋体" w:hAnsi="宋体" w:cs="宋体"/>
                <w:color w:val="000000"/>
                <w:sz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B8DE">
            <w:pPr>
              <w:widowControl/>
              <w:jc w:val="center"/>
              <w:textAlignment w:val="center"/>
              <w:rPr>
                <w:rFonts w:ascii="宋体" w:hAnsi="宋体" w:cs="宋体"/>
                <w:color w:val="000000"/>
                <w:sz w:val="20"/>
              </w:rPr>
            </w:pPr>
            <w:r>
              <w:rPr>
                <w:rFonts w:hint="eastAsia" w:ascii="宋体" w:hAnsi="宋体" w:cs="宋体"/>
                <w:color w:val="000000"/>
                <w:kern w:val="0"/>
                <w:sz w:val="20"/>
                <w:lang w:val="en-US" w:eastAsia="zh-CN"/>
              </w:rPr>
              <w:t>报价</w:t>
            </w:r>
            <w:r>
              <w:rPr>
                <w:rFonts w:hint="eastAsia" w:ascii="宋体" w:hAnsi="宋体" w:cs="宋体"/>
                <w:color w:val="000000"/>
                <w:kern w:val="0"/>
                <w:sz w:val="20"/>
              </w:rPr>
              <w:br w:type="textWrapping"/>
            </w:r>
            <w:r>
              <w:rPr>
                <w:rFonts w:hint="eastAsia" w:ascii="宋体" w:hAnsi="宋体" w:cs="宋体"/>
                <w:color w:val="000000"/>
                <w:kern w:val="0"/>
                <w:sz w:val="20"/>
              </w:rPr>
              <w:t>单价</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5FAF">
            <w:pPr>
              <w:widowControl/>
              <w:jc w:val="center"/>
              <w:textAlignment w:val="center"/>
              <w:rPr>
                <w:rFonts w:ascii="宋体" w:hAnsi="宋体" w:cs="宋体"/>
                <w:color w:val="000000"/>
                <w:sz w:val="20"/>
              </w:rPr>
            </w:pPr>
            <w:r>
              <w:rPr>
                <w:rFonts w:hint="eastAsia" w:ascii="宋体" w:hAnsi="宋体" w:cs="宋体"/>
                <w:color w:val="000000"/>
                <w:kern w:val="0"/>
                <w:sz w:val="20"/>
              </w:rPr>
              <w:t>备注</w:t>
            </w:r>
          </w:p>
        </w:tc>
      </w:tr>
      <w:tr w14:paraId="351C6627">
        <w:tblPrEx>
          <w:tblCellMar>
            <w:top w:w="0" w:type="dxa"/>
            <w:left w:w="108" w:type="dxa"/>
            <w:bottom w:w="0" w:type="dxa"/>
            <w:right w:w="108" w:type="dxa"/>
          </w:tblCellMar>
        </w:tblPrEx>
        <w:trPr>
          <w:trHeight w:val="56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EB866">
            <w:pPr>
              <w:widowControl/>
              <w:jc w:val="center"/>
              <w:textAlignment w:val="center"/>
              <w:rPr>
                <w:rFonts w:ascii="宋体" w:hAnsi="宋体" w:cs="宋体"/>
                <w:b/>
                <w:bCs/>
                <w:color w:val="000000"/>
                <w:sz w:val="20"/>
              </w:rPr>
            </w:pPr>
            <w:r>
              <w:rPr>
                <w:rFonts w:hint="eastAsia" w:ascii="宋体" w:hAnsi="宋体" w:cs="宋体"/>
                <w:b/>
                <w:bCs/>
                <w:color w:val="000000"/>
                <w:kern w:val="0"/>
                <w:sz w:val="20"/>
              </w:rPr>
              <w:t xml:space="preserve"> 照明、电器类</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857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13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配电箱</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BF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1.名称:配电箱</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35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D8F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1F8DE">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9C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参考品牌：任达、施耐德、伊顿、正泰、泰豪科技</w:t>
            </w:r>
          </w:p>
        </w:tc>
      </w:tr>
      <w:tr w14:paraId="79C5CD90">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1B63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215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143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紫外线灯管</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DD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1.名称:紫外线灯管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0B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20A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299C">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626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参考品牌：飞利浦、松下、三雄极光、佛山照明、雷士、欧普、TCL照明</w:t>
            </w:r>
          </w:p>
        </w:tc>
      </w:tr>
      <w:tr w14:paraId="693EB9D9">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10EA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FB9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8E8C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600*600平板灯42w-220V</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1A5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1.名称:600*600mm平板灯42w-220V</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F02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B0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D15D9">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B88E8">
            <w:pPr>
              <w:jc w:val="center"/>
              <w:rPr>
                <w:rFonts w:ascii="宋体" w:hAnsi="宋体" w:cs="宋体"/>
                <w:color w:val="000000"/>
                <w:sz w:val="18"/>
                <w:szCs w:val="18"/>
              </w:rPr>
            </w:pPr>
          </w:p>
        </w:tc>
      </w:tr>
      <w:tr w14:paraId="2453E0EF">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829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1A8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13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光管</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63E0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1.名称:光管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501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374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9AC91">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39979">
            <w:pPr>
              <w:jc w:val="center"/>
              <w:rPr>
                <w:rFonts w:ascii="宋体" w:hAnsi="宋体" w:cs="宋体"/>
                <w:color w:val="000000"/>
                <w:sz w:val="18"/>
                <w:szCs w:val="18"/>
              </w:rPr>
            </w:pPr>
          </w:p>
        </w:tc>
      </w:tr>
      <w:tr w14:paraId="232C6BEF">
        <w:tblPrEx>
          <w:tblCellMar>
            <w:top w:w="0" w:type="dxa"/>
            <w:left w:w="108" w:type="dxa"/>
            <w:bottom w:w="0" w:type="dxa"/>
            <w:right w:w="108" w:type="dxa"/>
          </w:tblCellMar>
        </w:tblPrEx>
        <w:trPr>
          <w:trHeight w:val="5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4DB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B4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F3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电线BV-2.5m2</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26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1.名称:电线BV-2.5m2</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2E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9EA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39C88">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D5C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参考品牌：金龙羽、成天泰、广东长江、广东电缆；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电缆可参照芯数和平方数进行换算</w:t>
            </w:r>
          </w:p>
        </w:tc>
      </w:tr>
      <w:tr w14:paraId="7E053545">
        <w:tblPrEx>
          <w:tblCellMar>
            <w:top w:w="0" w:type="dxa"/>
            <w:left w:w="108" w:type="dxa"/>
            <w:bottom w:w="0" w:type="dxa"/>
            <w:right w:w="108" w:type="dxa"/>
          </w:tblCellMar>
        </w:tblPrEx>
        <w:trPr>
          <w:trHeight w:val="5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3B7D">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1BC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655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电线BV-4m2</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F0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1.名称:电线BV-4m2</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47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029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DFEE0">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29A64">
            <w:pPr>
              <w:jc w:val="center"/>
              <w:rPr>
                <w:rFonts w:ascii="宋体" w:hAnsi="宋体" w:cs="宋体"/>
                <w:color w:val="000000"/>
                <w:sz w:val="18"/>
                <w:szCs w:val="18"/>
              </w:rPr>
            </w:pPr>
          </w:p>
        </w:tc>
      </w:tr>
      <w:tr w14:paraId="44C631FE">
        <w:tblPrEx>
          <w:tblCellMar>
            <w:top w:w="0" w:type="dxa"/>
            <w:left w:w="108" w:type="dxa"/>
            <w:bottom w:w="0" w:type="dxa"/>
            <w:right w:w="108" w:type="dxa"/>
          </w:tblCellMar>
        </w:tblPrEx>
        <w:trPr>
          <w:trHeight w:val="5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E4AC1">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BA6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E0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电线BV-6m2</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7B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1.名称:电线BV-6m2</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06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C91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DB97E">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88D6A">
            <w:pPr>
              <w:jc w:val="center"/>
              <w:rPr>
                <w:rFonts w:ascii="宋体" w:hAnsi="宋体" w:cs="宋体"/>
                <w:color w:val="000000"/>
                <w:sz w:val="18"/>
                <w:szCs w:val="18"/>
              </w:rPr>
            </w:pPr>
          </w:p>
        </w:tc>
      </w:tr>
      <w:tr w14:paraId="2499886F">
        <w:tblPrEx>
          <w:tblCellMar>
            <w:top w:w="0" w:type="dxa"/>
            <w:left w:w="108" w:type="dxa"/>
            <w:bottom w:w="0" w:type="dxa"/>
            <w:right w:w="108" w:type="dxa"/>
          </w:tblCellMar>
        </w:tblPrEx>
        <w:trPr>
          <w:trHeight w:val="5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B691B">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77D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29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电线BV-10m2</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B2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1.名称:电线BV-10m2</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C2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B0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D11AD">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F8E20">
            <w:pPr>
              <w:jc w:val="center"/>
              <w:rPr>
                <w:rFonts w:ascii="宋体" w:hAnsi="宋体" w:cs="宋体"/>
                <w:color w:val="000000"/>
                <w:sz w:val="18"/>
                <w:szCs w:val="18"/>
              </w:rPr>
            </w:pPr>
          </w:p>
        </w:tc>
      </w:tr>
      <w:tr w14:paraId="779A5AFB">
        <w:tblPrEx>
          <w:tblCellMar>
            <w:top w:w="0" w:type="dxa"/>
            <w:left w:w="108" w:type="dxa"/>
            <w:bottom w:w="0" w:type="dxa"/>
            <w:right w:w="108" w:type="dxa"/>
          </w:tblCellMar>
        </w:tblPrEx>
        <w:trPr>
          <w:trHeight w:val="7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A42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08F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A6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开关底盒(用于开关、插座）</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11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1.名称:开关底盒(用于开关、插座）</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A5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62E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A1939">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54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参考品牌：西门子、施耐德、ABB</w:t>
            </w:r>
          </w:p>
        </w:tc>
      </w:tr>
      <w:tr w14:paraId="28381FBE">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306C1">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49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A79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线槽、线管</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09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1.线槽、线管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FA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BD5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B2CE">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FC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含安装</w:t>
            </w:r>
          </w:p>
        </w:tc>
      </w:tr>
      <w:tr w14:paraId="3F558BFC">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99E1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BE5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293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紫外线支架</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9C3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1.名称:紫外线支架，不含电线线槽</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68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D2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7256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AB70">
            <w:pPr>
              <w:jc w:val="center"/>
              <w:rPr>
                <w:rFonts w:ascii="宋体" w:hAnsi="宋体" w:cs="宋体"/>
                <w:color w:val="000000"/>
                <w:sz w:val="18"/>
                <w:szCs w:val="18"/>
              </w:rPr>
            </w:pPr>
          </w:p>
        </w:tc>
      </w:tr>
      <w:tr w14:paraId="6D53E6A0">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3E1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353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CB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筒灯（19W)-220V</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5BB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1.名称:筒灯（19W)-220V</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BB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23E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F088">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F4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参考品牌：飞利浦、松下、三雄极光、佛山照明、雷士、欧普、TCL照明</w:t>
            </w:r>
          </w:p>
        </w:tc>
      </w:tr>
      <w:tr w14:paraId="2883037C">
        <w:tblPrEx>
          <w:tblCellMar>
            <w:top w:w="0" w:type="dxa"/>
            <w:left w:w="108" w:type="dxa"/>
            <w:bottom w:w="0" w:type="dxa"/>
            <w:right w:w="108" w:type="dxa"/>
          </w:tblCellMar>
        </w:tblPrEx>
        <w:trPr>
          <w:trHeight w:val="5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D7FC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8AE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D56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一位开关</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3C1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1.名称:一位开关</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28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072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85463">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CE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参考品牌：西门子、施耐德、ABB</w:t>
            </w:r>
          </w:p>
        </w:tc>
      </w:tr>
      <w:tr w14:paraId="6CECE205">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30CD2">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BFB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2AF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二位开关</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D9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1.名称:二位开关</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F8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176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D7B86">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8711A">
            <w:pPr>
              <w:jc w:val="center"/>
              <w:rPr>
                <w:rFonts w:ascii="宋体" w:hAnsi="宋体" w:cs="宋体"/>
                <w:color w:val="000000"/>
                <w:sz w:val="18"/>
                <w:szCs w:val="18"/>
              </w:rPr>
            </w:pPr>
          </w:p>
        </w:tc>
      </w:tr>
      <w:tr w14:paraId="4D582B37">
        <w:tblPrEx>
          <w:tblCellMar>
            <w:top w:w="0" w:type="dxa"/>
            <w:left w:w="108" w:type="dxa"/>
            <w:bottom w:w="0" w:type="dxa"/>
            <w:right w:w="108" w:type="dxa"/>
          </w:tblCellMar>
        </w:tblPrEx>
        <w:trPr>
          <w:trHeight w:val="4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FE2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D2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36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三位开关</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A9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1.名称:三位开关</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3A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844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32896">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95B90">
            <w:pPr>
              <w:jc w:val="center"/>
              <w:rPr>
                <w:rFonts w:ascii="宋体" w:hAnsi="宋体" w:cs="宋体"/>
                <w:color w:val="000000"/>
                <w:sz w:val="18"/>
                <w:szCs w:val="18"/>
              </w:rPr>
            </w:pPr>
          </w:p>
        </w:tc>
      </w:tr>
      <w:tr w14:paraId="4F5FBDCB">
        <w:tblPrEx>
          <w:tblCellMar>
            <w:top w:w="0" w:type="dxa"/>
            <w:left w:w="108" w:type="dxa"/>
            <w:bottom w:w="0" w:type="dxa"/>
            <w:right w:w="108" w:type="dxa"/>
          </w:tblCellMar>
        </w:tblPrEx>
        <w:trPr>
          <w:trHeight w:val="5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A9F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F5C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CAA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空气开关</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2C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1.名称:空气开关</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95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895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862FE">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63C8A">
            <w:pPr>
              <w:jc w:val="center"/>
              <w:rPr>
                <w:rFonts w:ascii="宋体" w:hAnsi="宋体" w:cs="宋体"/>
                <w:color w:val="000000"/>
                <w:sz w:val="18"/>
                <w:szCs w:val="18"/>
              </w:rPr>
            </w:pPr>
          </w:p>
        </w:tc>
      </w:tr>
      <w:tr w14:paraId="5C363CF9">
        <w:tblPrEx>
          <w:tblCellMar>
            <w:top w:w="0" w:type="dxa"/>
            <w:left w:w="108" w:type="dxa"/>
            <w:bottom w:w="0" w:type="dxa"/>
            <w:right w:w="108" w:type="dxa"/>
          </w:tblCellMar>
        </w:tblPrEx>
        <w:trPr>
          <w:trHeight w:val="7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A44A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E58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325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漏电开关</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1A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1.名称:漏电开关漏电开关更换(20-40A)]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2、小型漏电保护断路器漏保空气开关2P C6330mA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主触头分离止的时间不超过0.1s</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D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B6E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4E4E2">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1C4A3">
            <w:pPr>
              <w:jc w:val="center"/>
              <w:rPr>
                <w:rFonts w:ascii="宋体" w:hAnsi="宋体" w:cs="宋体"/>
                <w:color w:val="000000"/>
                <w:sz w:val="18"/>
                <w:szCs w:val="18"/>
              </w:rPr>
            </w:pPr>
          </w:p>
        </w:tc>
      </w:tr>
      <w:tr w14:paraId="5165C021">
        <w:tblPrEx>
          <w:tblCellMar>
            <w:top w:w="0" w:type="dxa"/>
            <w:left w:w="108" w:type="dxa"/>
            <w:bottom w:w="0" w:type="dxa"/>
            <w:right w:w="108" w:type="dxa"/>
          </w:tblCellMar>
        </w:tblPrEx>
        <w:trPr>
          <w:trHeight w:val="5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0B22">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D8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188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五孔插座面板</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70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1.名称:五孔插座面板带开关</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EB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1AF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BFB72">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6AA2F">
            <w:pPr>
              <w:jc w:val="center"/>
              <w:rPr>
                <w:rFonts w:ascii="宋体" w:hAnsi="宋体" w:cs="宋体"/>
                <w:color w:val="000000"/>
                <w:sz w:val="18"/>
                <w:szCs w:val="18"/>
              </w:rPr>
            </w:pPr>
          </w:p>
        </w:tc>
      </w:tr>
      <w:tr w14:paraId="49B076F7">
        <w:tblPrEx>
          <w:tblCellMar>
            <w:top w:w="0" w:type="dxa"/>
            <w:left w:w="108" w:type="dxa"/>
            <w:bottom w:w="0" w:type="dxa"/>
            <w:right w:w="108" w:type="dxa"/>
          </w:tblCellMar>
        </w:tblPrEx>
        <w:trPr>
          <w:trHeight w:val="6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4381">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1F2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8E6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墙排排烟机14寸</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683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1.名称:墙排排烟机14寸（含：辅材，不含开孔）</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B9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9E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A811D">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B630A">
            <w:pPr>
              <w:jc w:val="center"/>
              <w:rPr>
                <w:rFonts w:ascii="宋体" w:hAnsi="宋体" w:cs="宋体"/>
                <w:color w:val="000000"/>
                <w:sz w:val="18"/>
                <w:szCs w:val="18"/>
              </w:rPr>
            </w:pPr>
          </w:p>
        </w:tc>
      </w:tr>
      <w:tr w14:paraId="17A1182D">
        <w:tblPrEx>
          <w:tblCellMar>
            <w:top w:w="0" w:type="dxa"/>
            <w:left w:w="108" w:type="dxa"/>
            <w:bottom w:w="0" w:type="dxa"/>
            <w:right w:w="108" w:type="dxa"/>
          </w:tblCellMar>
        </w:tblPrEx>
        <w:trPr>
          <w:trHeight w:val="7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3416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CE9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E5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感应器 </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623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1.名称:感应器 不含辅材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63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C6A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0299">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12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光感应器、红外线感应器等，灯光控制、冲水控制等使用</w:t>
            </w:r>
          </w:p>
        </w:tc>
      </w:tr>
      <w:tr w14:paraId="707B66D8">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2A54">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138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FD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定时控制器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AC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1.名称:定时控制器 紫外线灯、社康招牌灯等使用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53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7B0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AF32E">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5D7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参考品牌：西门子、施耐德、ABB、公牛</w:t>
            </w:r>
          </w:p>
        </w:tc>
      </w:tr>
      <w:tr w14:paraId="5FDA0A8C">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1526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9C1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C8D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风机（200P  220V  130W)</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7CE3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1.名称:风机  （200P  220V  130W)</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A3C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A1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FF98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982B8">
            <w:pPr>
              <w:jc w:val="center"/>
              <w:rPr>
                <w:rFonts w:ascii="宋体" w:hAnsi="宋体" w:cs="宋体"/>
                <w:color w:val="000000"/>
                <w:sz w:val="18"/>
                <w:szCs w:val="18"/>
              </w:rPr>
            </w:pPr>
          </w:p>
        </w:tc>
      </w:tr>
      <w:tr w14:paraId="21FA87A2">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5AC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811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3B5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安全出口灯</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C1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1.名称:安全出口灯 不区分明装安装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02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94C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26C75">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B99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参考品牌：三雄极光、雷士、欧普不含辅材</w:t>
            </w:r>
          </w:p>
        </w:tc>
      </w:tr>
      <w:tr w14:paraId="0A42B58D">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1DC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07A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181D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应急灯</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FDE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1.名称:应急灯</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51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42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A6D8D">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7AB91">
            <w:pPr>
              <w:jc w:val="center"/>
              <w:rPr>
                <w:rFonts w:ascii="宋体" w:hAnsi="宋体" w:cs="宋体"/>
                <w:color w:val="000000"/>
                <w:sz w:val="18"/>
                <w:szCs w:val="18"/>
              </w:rPr>
            </w:pPr>
          </w:p>
        </w:tc>
      </w:tr>
      <w:tr w14:paraId="0E9BB9E3">
        <w:tblPrEx>
          <w:tblCellMar>
            <w:top w:w="0" w:type="dxa"/>
            <w:left w:w="108" w:type="dxa"/>
            <w:bottom w:w="0" w:type="dxa"/>
            <w:right w:w="108" w:type="dxa"/>
          </w:tblCellMar>
        </w:tblPrEx>
        <w:trPr>
          <w:trHeight w:val="6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A0A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D25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51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烟雾报警器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88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1.名称:烟雾报警器含电池</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5E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38F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8C07F">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53BF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参考品牌：海康威视、西门子、安舍、爱德华、霍尼韦尔、NOHMI</w:t>
            </w:r>
          </w:p>
        </w:tc>
      </w:tr>
      <w:tr w14:paraId="5BA197E3">
        <w:tblPrEx>
          <w:tblCellMar>
            <w:top w:w="0" w:type="dxa"/>
            <w:left w:w="108" w:type="dxa"/>
            <w:bottom w:w="0" w:type="dxa"/>
            <w:right w:w="108" w:type="dxa"/>
          </w:tblCellMar>
        </w:tblPrEx>
        <w:trPr>
          <w:trHeight w:val="6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E2DB">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CF8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46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透明防水盒</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365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1.名称:透明防水盒 插座适用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E3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C5C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B191C">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7C048">
            <w:pPr>
              <w:jc w:val="center"/>
              <w:rPr>
                <w:rFonts w:ascii="宋体" w:hAnsi="宋体" w:cs="宋体"/>
                <w:color w:val="000000"/>
                <w:sz w:val="18"/>
                <w:szCs w:val="18"/>
              </w:rPr>
            </w:pPr>
          </w:p>
        </w:tc>
      </w:tr>
      <w:tr w14:paraId="39E7D090">
        <w:tblPrEx>
          <w:tblCellMar>
            <w:top w:w="0" w:type="dxa"/>
            <w:left w:w="108" w:type="dxa"/>
            <w:bottom w:w="0" w:type="dxa"/>
            <w:right w:w="108" w:type="dxa"/>
          </w:tblCellMar>
        </w:tblPrEx>
        <w:trPr>
          <w:trHeight w:val="54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BD88D">
            <w:pPr>
              <w:widowControl/>
              <w:jc w:val="center"/>
              <w:textAlignment w:val="center"/>
              <w:rPr>
                <w:rFonts w:ascii="宋体" w:hAnsi="宋体" w:cs="宋体"/>
                <w:b/>
                <w:bCs/>
                <w:color w:val="000000"/>
                <w:sz w:val="20"/>
              </w:rPr>
            </w:pPr>
            <w:r>
              <w:rPr>
                <w:rFonts w:hint="eastAsia" w:ascii="宋体" w:hAnsi="宋体" w:cs="宋体"/>
                <w:b/>
                <w:bCs/>
                <w:color w:val="000000"/>
                <w:kern w:val="0"/>
                <w:sz w:val="20"/>
              </w:rPr>
              <w:t xml:space="preserve"> 卫用、水管类</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E8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B0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防臭管、软管</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9F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1.名称:防臭管、软管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7BF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08A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E179">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96BED">
            <w:pPr>
              <w:jc w:val="center"/>
              <w:rPr>
                <w:rFonts w:ascii="宋体" w:hAnsi="宋体" w:cs="宋体"/>
                <w:color w:val="000000"/>
                <w:sz w:val="18"/>
                <w:szCs w:val="18"/>
              </w:rPr>
            </w:pPr>
          </w:p>
        </w:tc>
      </w:tr>
      <w:tr w14:paraId="409482B6">
        <w:tblPrEx>
          <w:tblCellMar>
            <w:top w:w="0" w:type="dxa"/>
            <w:left w:w="108" w:type="dxa"/>
            <w:bottom w:w="0" w:type="dxa"/>
            <w:right w:w="108" w:type="dxa"/>
          </w:tblCellMar>
        </w:tblPrEx>
        <w:trPr>
          <w:trHeight w:val="5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AA6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B8B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8F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角阀</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95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1.名称:角阀</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20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52D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978CB">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89767">
            <w:pPr>
              <w:jc w:val="center"/>
              <w:rPr>
                <w:rFonts w:ascii="宋体" w:hAnsi="宋体" w:cs="宋体"/>
                <w:color w:val="000000"/>
                <w:sz w:val="18"/>
                <w:szCs w:val="18"/>
              </w:rPr>
            </w:pPr>
          </w:p>
        </w:tc>
      </w:tr>
      <w:tr w14:paraId="418892AF">
        <w:tblPrEx>
          <w:tblCellMar>
            <w:top w:w="0" w:type="dxa"/>
            <w:left w:w="108" w:type="dxa"/>
            <w:bottom w:w="0" w:type="dxa"/>
            <w:right w:w="108" w:type="dxa"/>
          </w:tblCellMar>
        </w:tblPrEx>
        <w:trPr>
          <w:trHeight w:val="5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8A33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822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D6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不锈钢水龙头</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36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1.名称:优质不锈钢水龙头</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6B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AC0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6DFDF">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D46A">
            <w:pPr>
              <w:jc w:val="center"/>
              <w:rPr>
                <w:rFonts w:ascii="宋体" w:hAnsi="宋体" w:cs="宋体"/>
                <w:color w:val="000000"/>
                <w:sz w:val="18"/>
                <w:szCs w:val="18"/>
              </w:rPr>
            </w:pPr>
          </w:p>
        </w:tc>
      </w:tr>
      <w:tr w14:paraId="0E9666B7">
        <w:tblPrEx>
          <w:tblCellMar>
            <w:top w:w="0" w:type="dxa"/>
            <w:left w:w="108" w:type="dxa"/>
            <w:bottom w:w="0" w:type="dxa"/>
            <w:right w:w="108" w:type="dxa"/>
          </w:tblCellMar>
        </w:tblPrEx>
        <w:trPr>
          <w:trHeight w:val="5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7043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54D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0E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感应水龙头</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5F3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1.名称:感应水龙头</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50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C82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2FA39">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AA4C">
            <w:pPr>
              <w:jc w:val="center"/>
              <w:rPr>
                <w:rFonts w:ascii="宋体" w:hAnsi="宋体" w:cs="宋体"/>
                <w:color w:val="000000"/>
                <w:sz w:val="18"/>
                <w:szCs w:val="18"/>
              </w:rPr>
            </w:pPr>
          </w:p>
        </w:tc>
      </w:tr>
      <w:tr w14:paraId="4E3B2AF8">
        <w:tblPrEx>
          <w:tblCellMar>
            <w:top w:w="0" w:type="dxa"/>
            <w:left w:w="108" w:type="dxa"/>
            <w:bottom w:w="0" w:type="dxa"/>
            <w:right w:w="108" w:type="dxa"/>
          </w:tblCellMar>
        </w:tblPrEx>
        <w:trPr>
          <w:trHeight w:val="7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DBE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54F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5B0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立柱洗手盆</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7F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立柱盆、不锈钢下水器、软管、角阀、冷热水龙头等</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86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CCD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2DC4B">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B0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含10米以内的给排水安装，成品拖布池、蹲便器(含水箱)等安装参考此单价</w:t>
            </w:r>
          </w:p>
        </w:tc>
      </w:tr>
      <w:tr w14:paraId="1DD4E5D2">
        <w:tblPrEx>
          <w:tblCellMar>
            <w:top w:w="0" w:type="dxa"/>
            <w:left w:w="108" w:type="dxa"/>
            <w:bottom w:w="0" w:type="dxa"/>
            <w:right w:w="108" w:type="dxa"/>
          </w:tblCellMar>
        </w:tblPrEx>
        <w:trPr>
          <w:trHeight w:val="8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32D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886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48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陶瓷台面洗手盆</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87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定制焊接加厚不锈钢材质钢结构固定底座、不锈钢下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水器、软管、角阀、冷热水龙头等含10米以内的给排水安装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FF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米</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17E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DD7DD">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27015">
            <w:pPr>
              <w:jc w:val="center"/>
              <w:rPr>
                <w:rFonts w:ascii="宋体" w:hAnsi="宋体" w:cs="宋体"/>
                <w:color w:val="000000"/>
                <w:sz w:val="18"/>
                <w:szCs w:val="18"/>
              </w:rPr>
            </w:pPr>
          </w:p>
        </w:tc>
      </w:tr>
      <w:tr w14:paraId="04FB6372">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8624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B14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3B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水管 DN20</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AE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1.名称:水管 DN20</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9C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98E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8A5D6">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E33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参考品牌：皇冠、亚通、日丰、顾地、联塑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PVC、PPR、镀锌管等管道及辅材，弯头、直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通、内牙弯、球阀，胶水等含安装</w:t>
            </w:r>
          </w:p>
        </w:tc>
      </w:tr>
      <w:tr w14:paraId="2B509D8B">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CDF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A9E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A6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水管 DN25</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9C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1.名称:水管 DN25</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D7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039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990A5">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43E43">
            <w:pPr>
              <w:jc w:val="center"/>
              <w:rPr>
                <w:rFonts w:ascii="宋体" w:hAnsi="宋体" w:cs="宋体"/>
                <w:color w:val="000000"/>
                <w:sz w:val="18"/>
                <w:szCs w:val="18"/>
              </w:rPr>
            </w:pPr>
          </w:p>
        </w:tc>
      </w:tr>
      <w:tr w14:paraId="1C1964B3">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01D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BFF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871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水管 DN50</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6F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1.名称:水管 DN50</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0BA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C3E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8EBE">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97B7E">
            <w:pPr>
              <w:jc w:val="center"/>
              <w:rPr>
                <w:rFonts w:ascii="宋体" w:hAnsi="宋体" w:cs="宋体"/>
                <w:color w:val="000000"/>
                <w:sz w:val="18"/>
                <w:szCs w:val="18"/>
              </w:rPr>
            </w:pPr>
          </w:p>
        </w:tc>
      </w:tr>
      <w:tr w14:paraId="1DEC3839">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E9CC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275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0D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水管 DN75</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8B5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1.名称:水管 DN75</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A2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51E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C6C9C">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3DAA3">
            <w:pPr>
              <w:jc w:val="center"/>
              <w:rPr>
                <w:rFonts w:ascii="宋体" w:hAnsi="宋体" w:cs="宋体"/>
                <w:color w:val="000000"/>
                <w:sz w:val="18"/>
                <w:szCs w:val="18"/>
              </w:rPr>
            </w:pPr>
          </w:p>
        </w:tc>
      </w:tr>
      <w:tr w14:paraId="3B9C5F34">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A07F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777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6B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水管 DN110</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25D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1.名称:水管 DN110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E7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86A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2876">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C7D3E">
            <w:pPr>
              <w:jc w:val="center"/>
              <w:rPr>
                <w:rFonts w:ascii="宋体" w:hAnsi="宋体" w:cs="宋体"/>
                <w:color w:val="000000"/>
                <w:sz w:val="18"/>
                <w:szCs w:val="18"/>
              </w:rPr>
            </w:pPr>
          </w:p>
        </w:tc>
      </w:tr>
      <w:tr w14:paraId="06D8E826">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AA26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CA4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B5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水管 DN150</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186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1.名称:水管 DN150</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7E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62D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E4D81">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FE8B6">
            <w:pPr>
              <w:jc w:val="center"/>
              <w:rPr>
                <w:rFonts w:ascii="宋体" w:hAnsi="宋体" w:cs="宋体"/>
                <w:color w:val="000000"/>
                <w:sz w:val="18"/>
                <w:szCs w:val="18"/>
              </w:rPr>
            </w:pPr>
          </w:p>
        </w:tc>
      </w:tr>
      <w:tr w14:paraId="7FBD4CAC">
        <w:tblPrEx>
          <w:tblCellMar>
            <w:top w:w="0" w:type="dxa"/>
            <w:left w:w="108" w:type="dxa"/>
            <w:bottom w:w="0" w:type="dxa"/>
            <w:right w:w="108" w:type="dxa"/>
          </w:tblCellMar>
        </w:tblPrEx>
        <w:trPr>
          <w:trHeight w:val="52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A10C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4C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C06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防滑厕所扶手</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B1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1.名称:防滑厕所扶手，不锈钢材质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AD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C7D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AF928">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AE56D">
            <w:pPr>
              <w:jc w:val="center"/>
              <w:rPr>
                <w:rFonts w:ascii="宋体" w:hAnsi="宋体" w:cs="宋体"/>
                <w:color w:val="000000"/>
                <w:sz w:val="18"/>
                <w:szCs w:val="18"/>
              </w:rPr>
            </w:pPr>
          </w:p>
        </w:tc>
      </w:tr>
      <w:tr w14:paraId="15ADA1DB">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4CB0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5CE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0D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烘手器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6FD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1.名称:烘手器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8D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5B1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980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7DCD">
            <w:pPr>
              <w:jc w:val="center"/>
              <w:rPr>
                <w:rFonts w:ascii="宋体" w:hAnsi="宋体" w:cs="宋体"/>
                <w:color w:val="000000"/>
                <w:sz w:val="18"/>
                <w:szCs w:val="18"/>
              </w:rPr>
            </w:pPr>
          </w:p>
        </w:tc>
      </w:tr>
      <w:tr w14:paraId="5443FDB8">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E5A8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345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2F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自动喷雾空气清新机</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D2C9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1.名称:自动喷雾空气清新机</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F1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9C2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D90CF">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A658">
            <w:pPr>
              <w:jc w:val="center"/>
              <w:rPr>
                <w:rFonts w:ascii="宋体" w:hAnsi="宋体" w:cs="宋体"/>
                <w:color w:val="000000"/>
                <w:sz w:val="18"/>
                <w:szCs w:val="18"/>
              </w:rPr>
            </w:pPr>
          </w:p>
        </w:tc>
      </w:tr>
      <w:tr w14:paraId="3916F4BF">
        <w:tblPrEx>
          <w:tblCellMar>
            <w:top w:w="0" w:type="dxa"/>
            <w:left w:w="108" w:type="dxa"/>
            <w:bottom w:w="0" w:type="dxa"/>
            <w:right w:w="108" w:type="dxa"/>
          </w:tblCellMar>
        </w:tblPrEx>
        <w:trPr>
          <w:trHeight w:val="8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ED8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22D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E9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卫生间按钮报警器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308E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1.名称:卫生间按钮报警器 </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95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EE8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1CA99">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845BA">
            <w:pPr>
              <w:jc w:val="center"/>
              <w:rPr>
                <w:rFonts w:ascii="宋体" w:hAnsi="宋体" w:cs="宋体"/>
                <w:color w:val="000000"/>
                <w:sz w:val="18"/>
                <w:szCs w:val="18"/>
              </w:rPr>
            </w:pPr>
          </w:p>
        </w:tc>
      </w:tr>
      <w:tr w14:paraId="0E5C11B6">
        <w:tblPrEx>
          <w:tblCellMar>
            <w:top w:w="0" w:type="dxa"/>
            <w:left w:w="108" w:type="dxa"/>
            <w:bottom w:w="0" w:type="dxa"/>
            <w:right w:w="108" w:type="dxa"/>
          </w:tblCellMar>
        </w:tblPrEx>
        <w:trPr>
          <w:trHeight w:val="8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F96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0F3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4B2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落地式尿斗（地排水、暗装感应器）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909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1.名称:落地式尿斗（地排水、暗装感应器）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55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1FC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AEA9B">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B93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参考品牌：箭牌、鹰卫浴</w:t>
            </w:r>
          </w:p>
        </w:tc>
      </w:tr>
      <w:tr w14:paraId="597A2A63">
        <w:tblPrEx>
          <w:tblCellMar>
            <w:top w:w="0" w:type="dxa"/>
            <w:left w:w="108" w:type="dxa"/>
            <w:bottom w:w="0" w:type="dxa"/>
            <w:right w:w="108" w:type="dxa"/>
          </w:tblCellMar>
        </w:tblPrEx>
        <w:trPr>
          <w:trHeight w:val="8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8A4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10B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8A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蹲便器含双键大力水箱</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CC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1.名称:蹲便器+双键大力水箱 </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A7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37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1697">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106F5">
            <w:pPr>
              <w:jc w:val="center"/>
              <w:rPr>
                <w:rFonts w:ascii="宋体" w:hAnsi="宋体" w:cs="宋体"/>
                <w:color w:val="000000"/>
                <w:sz w:val="18"/>
                <w:szCs w:val="18"/>
              </w:rPr>
            </w:pPr>
          </w:p>
        </w:tc>
      </w:tr>
      <w:tr w14:paraId="6FA8C557">
        <w:tblPrEx>
          <w:tblCellMar>
            <w:top w:w="0" w:type="dxa"/>
            <w:left w:w="108" w:type="dxa"/>
            <w:bottom w:w="0" w:type="dxa"/>
            <w:right w:w="108" w:type="dxa"/>
          </w:tblCellMar>
        </w:tblPrEx>
        <w:trPr>
          <w:trHeight w:val="8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2B3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92A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B7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坐便器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96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1.名称:坐便器 含角阀、软管等必要辅材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9C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AB7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672A">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17BD9">
            <w:pPr>
              <w:jc w:val="center"/>
              <w:rPr>
                <w:rFonts w:ascii="宋体" w:hAnsi="宋体" w:cs="宋体"/>
                <w:color w:val="000000"/>
                <w:sz w:val="18"/>
                <w:szCs w:val="18"/>
              </w:rPr>
            </w:pPr>
          </w:p>
        </w:tc>
      </w:tr>
      <w:tr w14:paraId="197ACE16">
        <w:tblPrEx>
          <w:tblCellMar>
            <w:top w:w="0" w:type="dxa"/>
            <w:left w:w="108" w:type="dxa"/>
            <w:bottom w:w="0" w:type="dxa"/>
            <w:right w:w="108" w:type="dxa"/>
          </w:tblCellMar>
        </w:tblPrEx>
        <w:trPr>
          <w:trHeight w:val="63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4EE6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7ED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D5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不锈钢地漏</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67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1.名称:不锈钢地漏</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12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3E7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9AC01">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B02B">
            <w:pPr>
              <w:jc w:val="center"/>
              <w:rPr>
                <w:rFonts w:ascii="宋体" w:hAnsi="宋体" w:cs="宋体"/>
                <w:color w:val="000000"/>
                <w:sz w:val="18"/>
                <w:szCs w:val="18"/>
              </w:rPr>
            </w:pPr>
          </w:p>
        </w:tc>
      </w:tr>
      <w:tr w14:paraId="111EF658">
        <w:tblPrEx>
          <w:tblCellMar>
            <w:top w:w="0" w:type="dxa"/>
            <w:left w:w="108" w:type="dxa"/>
            <w:bottom w:w="0" w:type="dxa"/>
            <w:right w:w="108" w:type="dxa"/>
          </w:tblCellMar>
        </w:tblPrEx>
        <w:trPr>
          <w:trHeight w:val="5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E76D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170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619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不锈钢垃圾盖</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471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1.名称:不锈钢垃圾盖</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F34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DF0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AF4A0">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527BE">
            <w:pPr>
              <w:jc w:val="center"/>
              <w:rPr>
                <w:rFonts w:ascii="宋体" w:hAnsi="宋体" w:cs="宋体"/>
                <w:color w:val="000000"/>
                <w:sz w:val="18"/>
                <w:szCs w:val="18"/>
              </w:rPr>
            </w:pPr>
          </w:p>
        </w:tc>
      </w:tr>
      <w:tr w14:paraId="4AB71533">
        <w:tblPrEx>
          <w:tblCellMar>
            <w:top w:w="0" w:type="dxa"/>
            <w:left w:w="108" w:type="dxa"/>
            <w:bottom w:w="0" w:type="dxa"/>
            <w:right w:w="108" w:type="dxa"/>
          </w:tblCellMar>
        </w:tblPrEx>
        <w:trPr>
          <w:trHeight w:val="72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ECB11">
            <w:pPr>
              <w:widowControl/>
              <w:jc w:val="center"/>
              <w:textAlignment w:val="center"/>
              <w:rPr>
                <w:rFonts w:ascii="宋体" w:hAnsi="宋体" w:cs="宋体"/>
                <w:b/>
                <w:bCs/>
                <w:color w:val="000000"/>
                <w:sz w:val="20"/>
              </w:rPr>
            </w:pPr>
            <w:r>
              <w:rPr>
                <w:rFonts w:hint="eastAsia" w:ascii="宋体" w:hAnsi="宋体" w:cs="宋体"/>
                <w:b/>
                <w:bCs/>
                <w:color w:val="000000"/>
                <w:kern w:val="0"/>
                <w:sz w:val="20"/>
              </w:rPr>
              <w:t xml:space="preserve"> 广告工程</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24D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53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亚克力广告招牌</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7D2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1.名称:面层亚克力含设计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A3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BE5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1D12">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316FC">
            <w:pPr>
              <w:jc w:val="center"/>
              <w:rPr>
                <w:rFonts w:ascii="宋体" w:hAnsi="宋体" w:cs="宋体"/>
                <w:color w:val="000000"/>
                <w:sz w:val="18"/>
                <w:szCs w:val="18"/>
              </w:rPr>
            </w:pPr>
          </w:p>
        </w:tc>
      </w:tr>
      <w:tr w14:paraId="33DD0D57">
        <w:tblPrEx>
          <w:tblCellMar>
            <w:top w:w="0" w:type="dxa"/>
            <w:left w:w="108" w:type="dxa"/>
            <w:bottom w:w="0" w:type="dxa"/>
            <w:right w:w="108" w:type="dxa"/>
          </w:tblCellMar>
        </w:tblPrEx>
        <w:trPr>
          <w:trHeight w:val="9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3C3C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391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B07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PVC面层广告招牌</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D87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1.名称:10mm厚PVC材质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5E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668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E82A8">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BE271">
            <w:pPr>
              <w:jc w:val="center"/>
              <w:rPr>
                <w:rFonts w:ascii="宋体" w:hAnsi="宋体" w:cs="宋体"/>
                <w:color w:val="000000"/>
                <w:sz w:val="18"/>
                <w:szCs w:val="18"/>
              </w:rPr>
            </w:pPr>
          </w:p>
        </w:tc>
      </w:tr>
      <w:tr w14:paraId="6EB139D5">
        <w:tblPrEx>
          <w:tblCellMar>
            <w:top w:w="0" w:type="dxa"/>
            <w:left w:w="108" w:type="dxa"/>
            <w:bottom w:w="0" w:type="dxa"/>
            <w:right w:w="108" w:type="dxa"/>
          </w:tblCellMar>
        </w:tblPrEx>
        <w:trPr>
          <w:trHeight w:val="96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31096">
            <w:pPr>
              <w:widowControl/>
              <w:jc w:val="center"/>
              <w:textAlignment w:val="center"/>
              <w:rPr>
                <w:rFonts w:ascii="宋体" w:hAnsi="宋体" w:cs="宋体"/>
                <w:b/>
                <w:bCs/>
                <w:color w:val="000000"/>
                <w:sz w:val="20"/>
              </w:rPr>
            </w:pPr>
            <w:r>
              <w:rPr>
                <w:rFonts w:hint="eastAsia" w:ascii="宋体" w:hAnsi="宋体" w:cs="宋体"/>
                <w:b/>
                <w:bCs/>
                <w:color w:val="000000"/>
                <w:kern w:val="0"/>
                <w:sz w:val="20"/>
              </w:rPr>
              <w:t xml:space="preserve"> 台班及工日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AD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BC8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普通维修</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0B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1.普通维修</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E24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2C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760A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13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适用清单未明确的简易维修，含简单辅材</w:t>
            </w:r>
          </w:p>
        </w:tc>
      </w:tr>
      <w:tr w14:paraId="36ADEB9E">
        <w:tblPrEx>
          <w:tblCellMar>
            <w:top w:w="0" w:type="dxa"/>
            <w:left w:w="108" w:type="dxa"/>
            <w:bottom w:w="0" w:type="dxa"/>
            <w:right w:w="108" w:type="dxa"/>
          </w:tblCellMar>
        </w:tblPrEx>
        <w:trPr>
          <w:trHeight w:val="13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ADB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A7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35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普通工</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914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1.名称:普通工人工费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354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工日</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8D4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2CE7">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17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包括但不限于木柜、铁柜、电焊、装钉打孔等非家电类维修或无法计量的维修，不含材料，使用时间不足4个小时按0.5工日，超4个小时按1个工日</w:t>
            </w:r>
          </w:p>
        </w:tc>
      </w:tr>
      <w:tr w14:paraId="774D5174">
        <w:tblPrEx>
          <w:tblCellMar>
            <w:top w:w="0" w:type="dxa"/>
            <w:left w:w="108" w:type="dxa"/>
            <w:bottom w:w="0" w:type="dxa"/>
            <w:right w:w="108" w:type="dxa"/>
          </w:tblCellMar>
        </w:tblPrEx>
        <w:trPr>
          <w:trHeight w:val="13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63C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D6B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51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技术工日</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EC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1.名称:技术工人人工费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DE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工日</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48F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077DB">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E82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包括但不限于电力排查、检修、抢修或其他专业性强的排查、检修或无法计量的维修工作，不含材料。使用时间不足4个小时按0.5工日，超4小时按1个工日</w:t>
            </w:r>
          </w:p>
        </w:tc>
      </w:tr>
      <w:tr w14:paraId="364C5A79">
        <w:tblPrEx>
          <w:tblCellMar>
            <w:top w:w="0" w:type="dxa"/>
            <w:left w:w="108" w:type="dxa"/>
            <w:bottom w:w="0" w:type="dxa"/>
            <w:right w:w="108" w:type="dxa"/>
          </w:tblCellMar>
        </w:tblPrEx>
        <w:trPr>
          <w:trHeight w:val="13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CC9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8DE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DC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汽车随车吊</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24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1.名称:汽车随车吊维修，具备辅助载人高空作业</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6B7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台班</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78A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5D78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5355">
            <w:pPr>
              <w:jc w:val="center"/>
              <w:rPr>
                <w:rFonts w:ascii="宋体" w:hAnsi="宋体" w:cs="宋体"/>
                <w:color w:val="000000"/>
                <w:sz w:val="18"/>
                <w:szCs w:val="18"/>
              </w:rPr>
            </w:pPr>
          </w:p>
        </w:tc>
      </w:tr>
      <w:tr w14:paraId="33D48C1F">
        <w:tblPrEx>
          <w:tblCellMar>
            <w:top w:w="0" w:type="dxa"/>
            <w:left w:w="108" w:type="dxa"/>
            <w:bottom w:w="0" w:type="dxa"/>
            <w:right w:w="108" w:type="dxa"/>
          </w:tblCellMar>
        </w:tblPrEx>
        <w:trPr>
          <w:trHeight w:val="63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AA93D">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01C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BA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吸粪车含清洁  （10平方）</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52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1.名称:吸粪车含清洁  （10平方）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AC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车</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2EC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ABDAD">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70672">
            <w:pPr>
              <w:jc w:val="center"/>
              <w:rPr>
                <w:rFonts w:ascii="宋体" w:hAnsi="宋体" w:cs="宋体"/>
                <w:b/>
                <w:bCs/>
                <w:color w:val="000000"/>
                <w:sz w:val="18"/>
                <w:szCs w:val="18"/>
              </w:rPr>
            </w:pPr>
          </w:p>
        </w:tc>
      </w:tr>
      <w:tr w14:paraId="3B9DAB35">
        <w:tblPrEx>
          <w:tblCellMar>
            <w:top w:w="0" w:type="dxa"/>
            <w:left w:w="108" w:type="dxa"/>
            <w:bottom w:w="0" w:type="dxa"/>
            <w:right w:w="108" w:type="dxa"/>
          </w:tblCellMar>
        </w:tblPrEx>
        <w:trPr>
          <w:trHeight w:val="11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55F4">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943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2A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人工疏通厕所</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A44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1.名称:人工疏通厕所，含清洁卫生</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3B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工日</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3A6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15D98">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2C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使用时间不足4个小时按0.5工日，超4小时按1个工日；社康清洁工作人员简易疏通无法解决问题的可使用此项</w:t>
            </w:r>
          </w:p>
        </w:tc>
      </w:tr>
      <w:tr w14:paraId="43D7E381">
        <w:tblPrEx>
          <w:tblCellMar>
            <w:top w:w="0" w:type="dxa"/>
            <w:left w:w="108" w:type="dxa"/>
            <w:bottom w:w="0" w:type="dxa"/>
            <w:right w:w="108" w:type="dxa"/>
          </w:tblCellMar>
        </w:tblPrEx>
        <w:trPr>
          <w:trHeight w:val="60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4EBA3">
            <w:pPr>
              <w:widowControl/>
              <w:jc w:val="center"/>
              <w:textAlignment w:val="center"/>
              <w:rPr>
                <w:rFonts w:ascii="宋体" w:hAnsi="宋体" w:cs="宋体"/>
                <w:b/>
                <w:bCs/>
                <w:color w:val="000000"/>
                <w:sz w:val="20"/>
              </w:rPr>
            </w:pPr>
            <w:r>
              <w:rPr>
                <w:rFonts w:hint="eastAsia" w:ascii="宋体" w:hAnsi="宋体" w:cs="宋体"/>
                <w:b/>
                <w:bCs/>
                <w:color w:val="000000"/>
                <w:kern w:val="0"/>
                <w:sz w:val="20"/>
              </w:rPr>
              <w:t xml:space="preserve"> 拆除工程</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948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37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面层拆除</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56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1.名称:吊顶、门窗、隔断等拆除</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23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2C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237F2">
            <w:pPr>
              <w:widowControl/>
              <w:jc w:val="center"/>
              <w:textAlignment w:val="center"/>
              <w:rPr>
                <w:rFonts w:ascii="宋体" w:hAnsi="宋体" w:cs="宋体"/>
                <w:color w:val="000000"/>
                <w:sz w:val="18"/>
                <w:szCs w:val="18"/>
              </w:rPr>
            </w:pP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284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拆除工程均包含垃圾清运送到特定场地，拆除后交接部位修整恢复，安全文明施工、围挡、卫生清理等。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实际数量不足一个标准单位数量时按照一个标准单位计算费用。</w:t>
            </w:r>
          </w:p>
        </w:tc>
      </w:tr>
      <w:tr w14:paraId="62D0E43D">
        <w:tblPrEx>
          <w:tblCellMar>
            <w:top w:w="0" w:type="dxa"/>
            <w:left w:w="108" w:type="dxa"/>
            <w:bottom w:w="0" w:type="dxa"/>
            <w:right w:w="108" w:type="dxa"/>
          </w:tblCellMar>
        </w:tblPrEx>
        <w:trPr>
          <w:trHeight w:val="6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A06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A7C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B8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构件拆除</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EA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1.名称:马桶、洗手台、柜体等物品拆除</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B9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581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CA4F2">
            <w:pPr>
              <w:widowControl/>
              <w:jc w:val="center"/>
              <w:textAlignment w:val="center"/>
              <w:rPr>
                <w:rFonts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079C">
            <w:pPr>
              <w:jc w:val="center"/>
              <w:rPr>
                <w:rFonts w:ascii="宋体" w:hAnsi="宋体" w:cs="宋体"/>
                <w:color w:val="000000"/>
                <w:sz w:val="18"/>
                <w:szCs w:val="18"/>
              </w:rPr>
            </w:pPr>
          </w:p>
        </w:tc>
      </w:tr>
      <w:tr w14:paraId="16D33F26">
        <w:tblPrEx>
          <w:tblCellMar>
            <w:top w:w="0" w:type="dxa"/>
            <w:left w:w="108" w:type="dxa"/>
            <w:bottom w:w="0" w:type="dxa"/>
            <w:right w:w="108" w:type="dxa"/>
          </w:tblCellMar>
        </w:tblPrEx>
        <w:trPr>
          <w:trHeight w:val="63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638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3C7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62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垃圾清运</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D68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1.名称:包含装卸车、卫生清理、自行寻找弃土场地</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A0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853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3A00E">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28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建筑垃圾清理按照实际装车量计取，不足1立方时不单独计取该费用，</w:t>
            </w:r>
          </w:p>
        </w:tc>
      </w:tr>
      <w:tr w14:paraId="5509A542">
        <w:tblPrEx>
          <w:tblCellMar>
            <w:top w:w="0" w:type="dxa"/>
            <w:left w:w="108" w:type="dxa"/>
            <w:bottom w:w="0" w:type="dxa"/>
            <w:right w:w="108" w:type="dxa"/>
          </w:tblCellMar>
        </w:tblPrEx>
        <w:trPr>
          <w:trHeight w:val="63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2C2D">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959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C3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专业钻孔φ75mm以内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4DC4F">
            <w:pPr>
              <w:jc w:val="left"/>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D9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62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867F23B">
            <w:pPr>
              <w:widowControl/>
              <w:jc w:val="center"/>
              <w:textAlignment w:val="bottom"/>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F4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含修复、周边防水处理</w:t>
            </w:r>
          </w:p>
        </w:tc>
      </w:tr>
      <w:tr w14:paraId="2FEC3C10">
        <w:tblPrEx>
          <w:tblCellMar>
            <w:top w:w="0" w:type="dxa"/>
            <w:left w:w="108" w:type="dxa"/>
            <w:bottom w:w="0" w:type="dxa"/>
            <w:right w:w="108" w:type="dxa"/>
          </w:tblCellMar>
        </w:tblPrEx>
        <w:trPr>
          <w:trHeight w:val="63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E6AA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1E0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41A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专业钻孔Φ180mm以内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10D5">
            <w:pPr>
              <w:jc w:val="left"/>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49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0EA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2608">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03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含修复、周边防水处理</w:t>
            </w:r>
          </w:p>
        </w:tc>
      </w:tr>
      <w:tr w14:paraId="3C8400F8">
        <w:tblPrEx>
          <w:tblCellMar>
            <w:top w:w="0" w:type="dxa"/>
            <w:left w:w="108" w:type="dxa"/>
            <w:bottom w:w="0" w:type="dxa"/>
            <w:right w:w="108" w:type="dxa"/>
          </w:tblCellMar>
        </w:tblPrEx>
        <w:trPr>
          <w:trHeight w:val="639" w:hRule="atLeast"/>
          <w:jc w:val="center"/>
        </w:trPr>
        <w:tc>
          <w:tcPr>
            <w:tcW w:w="1008" w:type="dxa"/>
            <w:vMerge w:val="restart"/>
            <w:tcBorders>
              <w:top w:val="single" w:color="000000" w:sz="4" w:space="0"/>
              <w:left w:val="single" w:color="000000" w:sz="4" w:space="0"/>
              <w:bottom w:val="nil"/>
              <w:right w:val="single" w:color="000000" w:sz="4" w:space="0"/>
            </w:tcBorders>
            <w:shd w:val="clear" w:color="auto" w:fill="auto"/>
            <w:vAlign w:val="center"/>
          </w:tcPr>
          <w:p w14:paraId="531952FE">
            <w:pPr>
              <w:widowControl/>
              <w:jc w:val="center"/>
              <w:textAlignment w:val="center"/>
              <w:rPr>
                <w:rFonts w:ascii="宋体" w:hAnsi="宋体" w:cs="宋体"/>
                <w:b/>
                <w:bCs/>
                <w:color w:val="000000"/>
                <w:sz w:val="20"/>
              </w:rPr>
            </w:pPr>
            <w:r>
              <w:rPr>
                <w:rFonts w:hint="eastAsia" w:ascii="宋体" w:hAnsi="宋体" w:cs="宋体"/>
                <w:b/>
                <w:bCs/>
                <w:color w:val="000000"/>
                <w:kern w:val="0"/>
                <w:sz w:val="20"/>
              </w:rPr>
              <w:t>门窗工程</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5A4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A34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钢化玻璃</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311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1.名称:钢化玻璃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2.厚度：10mm</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85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23C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CA2E0">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E11E">
            <w:pPr>
              <w:jc w:val="center"/>
              <w:rPr>
                <w:rFonts w:ascii="宋体" w:hAnsi="宋体" w:cs="宋体"/>
                <w:color w:val="000000"/>
                <w:sz w:val="18"/>
                <w:szCs w:val="18"/>
              </w:rPr>
            </w:pPr>
          </w:p>
        </w:tc>
      </w:tr>
      <w:tr w14:paraId="66AD3707">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4968D86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0B7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43EC">
            <w:pPr>
              <w:widowControl/>
              <w:jc w:val="left"/>
              <w:textAlignment w:val="center"/>
              <w:rPr>
                <w:rFonts w:ascii="Arial" w:hAnsi="Arial" w:cs="Arial"/>
                <w:color w:val="000000"/>
                <w:sz w:val="22"/>
                <w:szCs w:val="22"/>
              </w:rPr>
            </w:pPr>
            <w:r>
              <w:rPr>
                <w:rStyle w:val="408"/>
              </w:rPr>
              <w:t>普通铝合金门、窗、隔断</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56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1.骨架材料规格、厚度：50*50*24mm；普通透明玻璃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3.推拉窗 1.0mm厚不锈钢窗套</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165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13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9E5F">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D6AF">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包含固定安装，周边细部处理等</w:t>
            </w:r>
          </w:p>
        </w:tc>
      </w:tr>
      <w:tr w14:paraId="53C6311A">
        <w:tblPrEx>
          <w:tblCellMar>
            <w:top w:w="0" w:type="dxa"/>
            <w:left w:w="108" w:type="dxa"/>
            <w:bottom w:w="0" w:type="dxa"/>
            <w:right w:w="108" w:type="dxa"/>
          </w:tblCellMar>
        </w:tblPrEx>
        <w:trPr>
          <w:trHeight w:val="56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10DF890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A23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7E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普通不锈钢门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6F3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含门扇、门框、辅材，常规五金配件等</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07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DD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145B">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2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15MM厚以内钢化玻璃门(含门框五金等)参考此单价</w:t>
            </w:r>
          </w:p>
        </w:tc>
      </w:tr>
      <w:tr w14:paraId="0F241B44">
        <w:tblPrEx>
          <w:tblCellMar>
            <w:top w:w="0" w:type="dxa"/>
            <w:left w:w="108" w:type="dxa"/>
            <w:bottom w:w="0" w:type="dxa"/>
            <w:right w:w="108" w:type="dxa"/>
          </w:tblCellMar>
        </w:tblPrEx>
        <w:trPr>
          <w:trHeight w:val="48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34106412">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88A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BE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高档不锈钢门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AE3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1.2mm厚不锈钢门套及门；12mm钢化玻璃；地弹簧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(或锁)及豪华不锈钢抓手及辅材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1B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05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2B8C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B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中空玻璃、夹胶玻璃、双层玻璃等参考此价格</w:t>
            </w:r>
          </w:p>
        </w:tc>
      </w:tr>
      <w:tr w14:paraId="5CD3882F">
        <w:tblPrEx>
          <w:tblCellMar>
            <w:top w:w="0" w:type="dxa"/>
            <w:left w:w="108" w:type="dxa"/>
            <w:bottom w:w="0" w:type="dxa"/>
            <w:right w:w="108" w:type="dxa"/>
          </w:tblCellMar>
        </w:tblPrEx>
        <w:trPr>
          <w:trHeight w:val="4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79B10D9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243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BF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豪华造型不锈钢门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8A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1.2mm厚不锈钢门套及门带造型；13mm钢化玻璃；地弹簧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(或锁)及豪华不锈钢抓手及辅材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DB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858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B737C">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Pr>
          <w:p w14:paraId="0FB91672">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带造型、中空玻璃、夹胶玻璃、双层玻璃等参考此</w:t>
            </w:r>
          </w:p>
        </w:tc>
      </w:tr>
      <w:tr w14:paraId="0E31C518">
        <w:tblPrEx>
          <w:tblCellMar>
            <w:top w:w="0" w:type="dxa"/>
            <w:left w:w="108" w:type="dxa"/>
            <w:bottom w:w="0" w:type="dxa"/>
            <w:right w:w="108" w:type="dxa"/>
          </w:tblCellMar>
        </w:tblPrEx>
        <w:trPr>
          <w:trHeight w:val="106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4D9973A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D8D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0BC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门套(框)更换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BF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1、门套(框)拆除、更换免漆实木门框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2、规格：综合考虑尺寸800-1180宽*2300高*280mm墙厚内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3、拆除垃圾清理下运至垃圾点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4、含门缝抗裂砂浆二次清补,漆面恢复，嵌砖</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491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樘</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02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FBA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5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墙体厚度超过280MM,每10MM按25元增加</w:t>
            </w:r>
          </w:p>
        </w:tc>
      </w:tr>
      <w:tr w14:paraId="1522269D">
        <w:tblPrEx>
          <w:tblCellMar>
            <w:top w:w="0" w:type="dxa"/>
            <w:left w:w="108" w:type="dxa"/>
            <w:bottom w:w="0" w:type="dxa"/>
            <w:right w:w="108" w:type="dxa"/>
          </w:tblCellMar>
        </w:tblPrEx>
        <w:trPr>
          <w:trHeight w:val="74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722B4FB1">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3D3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60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门扇更换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A7CE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1、门扇拆除、更换免漆实木门扇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2、规格：综合考虑尺寸800-1000宽*2300mm高内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3、拆除垃圾清理下运至垃圾点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51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扇</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72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ED5C">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Pr>
          <w:p w14:paraId="36D75745">
            <w:pPr>
              <w:jc w:val="center"/>
              <w:rPr>
                <w:rFonts w:ascii="宋体" w:hAnsi="宋体" w:cs="宋体"/>
                <w:color w:val="000000"/>
                <w:sz w:val="18"/>
                <w:szCs w:val="18"/>
              </w:rPr>
            </w:pPr>
          </w:p>
        </w:tc>
      </w:tr>
      <w:tr w14:paraId="6FD7B2C0">
        <w:tblPrEx>
          <w:tblCellMar>
            <w:top w:w="0" w:type="dxa"/>
            <w:left w:w="108" w:type="dxa"/>
            <w:bottom w:w="0" w:type="dxa"/>
            <w:right w:w="108" w:type="dxa"/>
          </w:tblCellMar>
        </w:tblPrEx>
        <w:trPr>
          <w:trHeight w:val="13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3340627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F01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C8C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房门安装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9A5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1、M0922国标钢制门或木质门(带套),含门缝抗裂砂浆二次清补，漆面恢复，嵌砖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2、规格：M</w:t>
            </w:r>
            <w:r>
              <w:rPr>
                <w:rStyle w:val="114"/>
              </w:rPr>
              <w:t>₀</w:t>
            </w:r>
            <w:r>
              <w:rPr>
                <w:rStyle w:val="135"/>
                <w:rFonts w:hint="default"/>
              </w:rPr>
              <w:t>922-M1023,,中等(乙级以上),符合GB17565-2007标准，同原有门</w:t>
            </w:r>
            <w:r>
              <w:rPr>
                <w:rStyle w:val="135"/>
                <w:rFonts w:hint="default"/>
              </w:rPr>
              <w:br w:type="textWrapping"/>
            </w:r>
            <w:r>
              <w:rPr>
                <w:rStyle w:val="135"/>
                <w:rFonts w:hint="default"/>
              </w:rPr>
              <w:t>3、门锁、五金等配件安技</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50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A6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0325">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70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现场制作木门参考此综合单价</w:t>
            </w:r>
          </w:p>
        </w:tc>
      </w:tr>
      <w:tr w14:paraId="3C874014">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1742537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125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B1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标准乙级防火门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A6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满足消防要求</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F0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C20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385C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91F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包含修复边框及辅材</w:t>
            </w:r>
          </w:p>
        </w:tc>
      </w:tr>
      <w:tr w14:paraId="0C34C8A4">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6A03444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031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4F9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密码门禁</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91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1.名称:密码门禁含电线线槽等辅材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7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423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37A27">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F014F">
            <w:pPr>
              <w:jc w:val="center"/>
              <w:rPr>
                <w:rFonts w:ascii="宋体" w:hAnsi="宋体" w:cs="宋体"/>
                <w:color w:val="000000"/>
                <w:sz w:val="18"/>
                <w:szCs w:val="18"/>
              </w:rPr>
            </w:pPr>
          </w:p>
        </w:tc>
      </w:tr>
      <w:tr w14:paraId="60B56CD4">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22B757A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3B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F5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铝合金把手</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16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1.名称:铝合金把手安装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1C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E41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5BED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09D1">
            <w:pPr>
              <w:jc w:val="center"/>
              <w:rPr>
                <w:rFonts w:ascii="宋体" w:hAnsi="宋体" w:cs="宋体"/>
                <w:color w:val="000000"/>
                <w:sz w:val="18"/>
                <w:szCs w:val="18"/>
              </w:rPr>
            </w:pPr>
          </w:p>
        </w:tc>
      </w:tr>
      <w:tr w14:paraId="758101A1">
        <w:tblPrEx>
          <w:tblCellMar>
            <w:top w:w="0" w:type="dxa"/>
            <w:left w:w="108" w:type="dxa"/>
            <w:bottom w:w="0" w:type="dxa"/>
            <w:right w:w="108" w:type="dxa"/>
          </w:tblCellMar>
        </w:tblPrEx>
        <w:trPr>
          <w:trHeight w:val="36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32FF7F9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167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D8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闭门器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498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1.名称:闭门器安装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F75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310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7F07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EC52">
            <w:pPr>
              <w:jc w:val="center"/>
              <w:rPr>
                <w:rFonts w:ascii="宋体" w:hAnsi="宋体" w:cs="宋体"/>
                <w:color w:val="000000"/>
                <w:sz w:val="18"/>
                <w:szCs w:val="18"/>
              </w:rPr>
            </w:pPr>
          </w:p>
        </w:tc>
      </w:tr>
      <w:tr w14:paraId="67109ED3">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22B81E7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A19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8E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行程开关</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E8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1.名称:行程开关安装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08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2E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19F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6E82">
            <w:pPr>
              <w:jc w:val="center"/>
              <w:rPr>
                <w:rFonts w:ascii="宋体" w:hAnsi="宋体" w:cs="宋体"/>
                <w:color w:val="000000"/>
                <w:sz w:val="18"/>
                <w:szCs w:val="18"/>
              </w:rPr>
            </w:pPr>
          </w:p>
        </w:tc>
      </w:tr>
      <w:tr w14:paraId="0CDA08D4">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22A90CA7">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F85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29D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弹簧合页</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61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1.名称:簧合页安装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2D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A1F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DA04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B626">
            <w:pPr>
              <w:jc w:val="center"/>
              <w:rPr>
                <w:rFonts w:ascii="宋体" w:hAnsi="宋体" w:cs="宋体"/>
                <w:color w:val="000000"/>
                <w:sz w:val="18"/>
                <w:szCs w:val="18"/>
              </w:rPr>
            </w:pPr>
          </w:p>
        </w:tc>
      </w:tr>
      <w:tr w14:paraId="47F08FC0">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0D98084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5B4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97B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隔帘</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3C2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1名称：棉麻隔帘 含定制logo、图案、辅材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97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90F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AFDA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C88A">
            <w:pPr>
              <w:jc w:val="center"/>
              <w:rPr>
                <w:rFonts w:ascii="宋体" w:hAnsi="宋体" w:cs="宋体"/>
                <w:color w:val="000000"/>
                <w:sz w:val="18"/>
                <w:szCs w:val="18"/>
              </w:rPr>
            </w:pPr>
          </w:p>
        </w:tc>
      </w:tr>
      <w:tr w14:paraId="267A0E19">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604EF3B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41E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9C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窗帘</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49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1名称：普通窗帘 非不透光 无造型 含辅材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C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604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88A70">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9543">
            <w:pPr>
              <w:jc w:val="center"/>
              <w:rPr>
                <w:rFonts w:ascii="宋体" w:hAnsi="宋体" w:cs="宋体"/>
                <w:color w:val="000000"/>
                <w:sz w:val="18"/>
                <w:szCs w:val="18"/>
              </w:rPr>
            </w:pPr>
          </w:p>
        </w:tc>
      </w:tr>
      <w:tr w14:paraId="4325C59D">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316C202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A68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9A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窗帘装置</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1FE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1.名称：成品铝合金窗帘杆安装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A1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E9F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81473">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35A30">
            <w:pPr>
              <w:jc w:val="center"/>
              <w:rPr>
                <w:rFonts w:ascii="宋体" w:hAnsi="宋体" w:cs="宋体"/>
                <w:color w:val="000000"/>
                <w:sz w:val="18"/>
                <w:szCs w:val="18"/>
              </w:rPr>
            </w:pPr>
          </w:p>
        </w:tc>
      </w:tr>
      <w:tr w14:paraId="610B3624">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0280A77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ADF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DC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不锈钢防盗网</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0D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1.名称：304不锈钢防盗网</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B6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2A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FDB0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1553">
            <w:pPr>
              <w:jc w:val="center"/>
              <w:rPr>
                <w:rFonts w:ascii="宋体" w:hAnsi="宋体" w:cs="宋体"/>
                <w:color w:val="000000"/>
                <w:sz w:val="18"/>
                <w:szCs w:val="18"/>
              </w:rPr>
            </w:pPr>
          </w:p>
        </w:tc>
      </w:tr>
      <w:tr w14:paraId="6065C4E8">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0CB268D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FAC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23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卫生间成品隔断</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5C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抗倍特板隔断</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50C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C8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87BE">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CC93">
            <w:pPr>
              <w:jc w:val="center"/>
              <w:rPr>
                <w:rFonts w:ascii="宋体" w:hAnsi="宋体" w:cs="宋体"/>
                <w:color w:val="000000"/>
                <w:sz w:val="18"/>
                <w:szCs w:val="18"/>
              </w:rPr>
            </w:pPr>
          </w:p>
        </w:tc>
      </w:tr>
      <w:tr w14:paraId="76E84EBC">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49DA11F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B67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C7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卫生间置物板</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698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抗倍特板，实木层板120*180mm安装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E1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01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33C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125C">
            <w:pPr>
              <w:jc w:val="center"/>
              <w:rPr>
                <w:rFonts w:ascii="宋体" w:hAnsi="宋体" w:cs="宋体"/>
                <w:color w:val="000000"/>
                <w:sz w:val="18"/>
                <w:szCs w:val="18"/>
              </w:rPr>
            </w:pPr>
          </w:p>
        </w:tc>
      </w:tr>
      <w:tr w14:paraId="4300A2F6">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25ACD62D">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97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F4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插销</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CF3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1.名称：插销</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08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8CF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04D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3E9F">
            <w:pPr>
              <w:jc w:val="center"/>
              <w:rPr>
                <w:rFonts w:ascii="宋体" w:hAnsi="宋体" w:cs="宋体"/>
                <w:color w:val="000000"/>
                <w:sz w:val="18"/>
                <w:szCs w:val="18"/>
              </w:rPr>
            </w:pPr>
          </w:p>
        </w:tc>
      </w:tr>
      <w:tr w14:paraId="2D1B5E66">
        <w:tblPrEx>
          <w:tblCellMar>
            <w:top w:w="0" w:type="dxa"/>
            <w:left w:w="108" w:type="dxa"/>
            <w:bottom w:w="0" w:type="dxa"/>
            <w:right w:w="108" w:type="dxa"/>
          </w:tblCellMar>
        </w:tblPrEx>
        <w:trPr>
          <w:trHeight w:val="4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5AC73404">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85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07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闭门器安装，更换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03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安装30KG闭门器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0F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28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E4F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30E4">
            <w:pPr>
              <w:jc w:val="center"/>
              <w:rPr>
                <w:rFonts w:ascii="宋体" w:hAnsi="宋体" w:cs="宋体"/>
                <w:color w:val="000000"/>
                <w:sz w:val="18"/>
                <w:szCs w:val="18"/>
              </w:rPr>
            </w:pPr>
          </w:p>
        </w:tc>
      </w:tr>
      <w:tr w14:paraId="47D751DD">
        <w:tblPrEx>
          <w:tblCellMar>
            <w:top w:w="0" w:type="dxa"/>
            <w:left w:w="108" w:type="dxa"/>
            <w:bottom w:w="0" w:type="dxa"/>
            <w:right w:w="108" w:type="dxa"/>
          </w:tblCellMar>
        </w:tblPrEx>
        <w:trPr>
          <w:trHeight w:val="4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2CCADD9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BC6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DC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闭门器安装，更换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D4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安装60KG闭门器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A5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19C992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A75482">
            <w:pPr>
              <w:widowControl/>
              <w:jc w:val="center"/>
              <w:textAlignment w:val="bottom"/>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43118">
            <w:pPr>
              <w:jc w:val="center"/>
              <w:rPr>
                <w:rFonts w:ascii="宋体" w:hAnsi="宋体" w:cs="宋体"/>
                <w:color w:val="000000"/>
                <w:sz w:val="18"/>
                <w:szCs w:val="18"/>
              </w:rPr>
            </w:pPr>
          </w:p>
        </w:tc>
      </w:tr>
      <w:tr w14:paraId="7C6DD0DF">
        <w:tblPrEx>
          <w:tblCellMar>
            <w:top w:w="0" w:type="dxa"/>
            <w:left w:w="108" w:type="dxa"/>
            <w:bottom w:w="0" w:type="dxa"/>
            <w:right w:w="108" w:type="dxa"/>
          </w:tblCellMar>
        </w:tblPrEx>
        <w:trPr>
          <w:trHeight w:val="74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6F915FF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DF3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24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窗护栏拆除、安装(玻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璃安装措施性费用)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C20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1、金属护栏保护性拆除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2、规格：综合考虑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3、利旧重新安装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E4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E2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BC7C">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Pr>
          <w:p w14:paraId="71A629DC">
            <w:pPr>
              <w:jc w:val="center"/>
              <w:rPr>
                <w:rFonts w:ascii="宋体" w:hAnsi="宋体" w:cs="宋体"/>
                <w:color w:val="000000"/>
                <w:sz w:val="18"/>
                <w:szCs w:val="18"/>
              </w:rPr>
            </w:pPr>
          </w:p>
        </w:tc>
      </w:tr>
      <w:tr w14:paraId="6DFF5037">
        <w:tblPrEx>
          <w:tblCellMar>
            <w:top w:w="0" w:type="dxa"/>
            <w:left w:w="108" w:type="dxa"/>
            <w:bottom w:w="0" w:type="dxa"/>
            <w:right w:w="108" w:type="dxa"/>
          </w:tblCellMar>
        </w:tblPrEx>
        <w:trPr>
          <w:trHeight w:val="78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33B3016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CC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63E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镀锌管护栏拆除</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85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1、金属护栏保护性拆除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2、规格：综合考虑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3、不新购</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DC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59E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23A8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Pr>
          <w:p w14:paraId="26702E76">
            <w:pPr>
              <w:jc w:val="center"/>
              <w:rPr>
                <w:rFonts w:ascii="宋体" w:hAnsi="宋体" w:cs="宋体"/>
                <w:color w:val="000000"/>
                <w:sz w:val="18"/>
                <w:szCs w:val="18"/>
              </w:rPr>
            </w:pPr>
          </w:p>
        </w:tc>
      </w:tr>
      <w:tr w14:paraId="24DC6A8F">
        <w:tblPrEx>
          <w:tblCellMar>
            <w:top w:w="0" w:type="dxa"/>
            <w:left w:w="108" w:type="dxa"/>
            <w:bottom w:w="0" w:type="dxa"/>
            <w:right w:w="108" w:type="dxa"/>
          </w:tblCellMar>
        </w:tblPrEx>
        <w:trPr>
          <w:trHeight w:val="78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50EDBF5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980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0DD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镀锌管护栏安装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E2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1、镀锌管金属护栏制作、安装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2、规格：详见原有栏杆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3、不含安全措施费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589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6F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11C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B9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单条不足一米按一米算等参考此单价</w:t>
            </w:r>
          </w:p>
        </w:tc>
      </w:tr>
      <w:tr w14:paraId="28FAB057">
        <w:tblPrEx>
          <w:tblCellMar>
            <w:top w:w="0" w:type="dxa"/>
            <w:left w:w="108" w:type="dxa"/>
            <w:bottom w:w="0" w:type="dxa"/>
            <w:right w:w="108" w:type="dxa"/>
          </w:tblCellMar>
        </w:tblPrEx>
        <w:trPr>
          <w:trHeight w:val="5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5FE52AB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C24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BF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金属护栏刷漆</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A21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1、基层锈蚀、污渍清理， 一底两面油漆，水性无臭型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2、按垂直投影面积计算方量</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12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5F6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CD5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tcPr>
          <w:p w14:paraId="78F78980">
            <w:pPr>
              <w:jc w:val="center"/>
              <w:rPr>
                <w:rFonts w:ascii="宋体" w:hAnsi="宋体" w:cs="宋体"/>
                <w:color w:val="000000"/>
                <w:sz w:val="18"/>
                <w:szCs w:val="18"/>
              </w:rPr>
            </w:pPr>
          </w:p>
        </w:tc>
      </w:tr>
      <w:tr w14:paraId="17435BC2">
        <w:tblPrEx>
          <w:tblCellMar>
            <w:top w:w="0" w:type="dxa"/>
            <w:left w:w="108" w:type="dxa"/>
            <w:bottom w:w="0" w:type="dxa"/>
            <w:right w:w="108" w:type="dxa"/>
          </w:tblCellMar>
        </w:tblPrEx>
        <w:trPr>
          <w:trHeight w:val="5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3526BAB2">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5F2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FF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304不锈钢护栏安装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D8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1、304不锈钢护制作、安装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2、规格：详设计图纸及施工方案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3、不含安全措施费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F6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09D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0B2BE">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6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单条不足一米按一米算等参考此单价</w:t>
            </w:r>
          </w:p>
        </w:tc>
      </w:tr>
      <w:tr w14:paraId="2B97F5C4">
        <w:tblPrEx>
          <w:tblCellMar>
            <w:top w:w="0" w:type="dxa"/>
            <w:left w:w="108" w:type="dxa"/>
            <w:bottom w:w="0" w:type="dxa"/>
            <w:right w:w="108" w:type="dxa"/>
          </w:tblCellMar>
        </w:tblPrEx>
        <w:trPr>
          <w:trHeight w:val="46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0552B80E">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9E2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67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铝合金护栏安装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066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1、铝合金护栏制作、安装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2、规格：详设计图纸及施工方案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3、不含安全措施费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2A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C4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04F7">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78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单条不足一米按一米算等参考此单价</w:t>
            </w:r>
          </w:p>
        </w:tc>
      </w:tr>
      <w:tr w14:paraId="6CD6DF34">
        <w:tblPrEx>
          <w:tblCellMar>
            <w:top w:w="0" w:type="dxa"/>
            <w:left w:w="108" w:type="dxa"/>
            <w:bottom w:w="0" w:type="dxa"/>
            <w:right w:w="108" w:type="dxa"/>
          </w:tblCellMar>
        </w:tblPrEx>
        <w:trPr>
          <w:trHeight w:val="5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73404713">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28A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C601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玻璃栏板更换玻璃</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6F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1、玻璃拆除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2、拆除垃圾清理下运至垃圾点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3、6+1.52PVB+6mm厚钢化夹胶玻璃安装，材质、颜色与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原有玻璃一致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4、不足1m2按1m2计，1m2以上按实计算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 不含安全措施费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A41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75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07D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A3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单条不足一米按一米算等参考此单价</w:t>
            </w:r>
          </w:p>
        </w:tc>
      </w:tr>
      <w:tr w14:paraId="5664B988">
        <w:tblPrEx>
          <w:tblCellMar>
            <w:top w:w="0" w:type="dxa"/>
            <w:left w:w="108" w:type="dxa"/>
            <w:bottom w:w="0" w:type="dxa"/>
            <w:right w:w="108" w:type="dxa"/>
          </w:tblCellMar>
        </w:tblPrEx>
        <w:trPr>
          <w:trHeight w:val="50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7387911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DEE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77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柜门拆、安装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C2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1、原有柜门拆除，安装晶钢门(钢化代彩)h3mm,合页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采用304不锈钢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2、拆除垃圾清理下运至垃圾点</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2E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43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54B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E2CA">
            <w:pPr>
              <w:jc w:val="center"/>
              <w:rPr>
                <w:rFonts w:ascii="宋体" w:hAnsi="宋体" w:cs="宋体"/>
                <w:color w:val="000000"/>
                <w:sz w:val="18"/>
                <w:szCs w:val="18"/>
              </w:rPr>
            </w:pPr>
          </w:p>
        </w:tc>
      </w:tr>
      <w:tr w14:paraId="2B136984">
        <w:tblPrEx>
          <w:tblCellMar>
            <w:top w:w="0" w:type="dxa"/>
            <w:left w:w="108" w:type="dxa"/>
            <w:bottom w:w="0" w:type="dxa"/>
            <w:right w:w="108" w:type="dxa"/>
          </w:tblCellMar>
        </w:tblPrEx>
        <w:trPr>
          <w:trHeight w:val="720" w:hRule="atLeast"/>
          <w:jc w:val="center"/>
        </w:trPr>
        <w:tc>
          <w:tcPr>
            <w:tcW w:w="1008" w:type="dxa"/>
            <w:vMerge w:val="continue"/>
            <w:tcBorders>
              <w:top w:val="single" w:color="000000" w:sz="4" w:space="0"/>
              <w:left w:val="single" w:color="000000" w:sz="4" w:space="0"/>
              <w:bottom w:val="nil"/>
              <w:right w:val="single" w:color="000000" w:sz="4" w:space="0"/>
            </w:tcBorders>
            <w:shd w:val="clear" w:color="auto" w:fill="auto"/>
            <w:vAlign w:val="center"/>
          </w:tcPr>
          <w:p w14:paraId="605494E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52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024A1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书柜，吊柜</w:t>
            </w:r>
          </w:p>
        </w:tc>
        <w:tc>
          <w:tcPr>
            <w:tcW w:w="2479" w:type="dxa"/>
            <w:tcBorders>
              <w:top w:val="single" w:color="000000" w:sz="4" w:space="0"/>
              <w:left w:val="single" w:color="000000" w:sz="4" w:space="0"/>
              <w:bottom w:val="single" w:color="000000" w:sz="4" w:space="0"/>
              <w:right w:val="single" w:color="000000" w:sz="4" w:space="0"/>
            </w:tcBorders>
            <w:shd w:val="clear" w:color="auto" w:fill="FFFFFF"/>
          </w:tcPr>
          <w:p w14:paraId="4043B0AF">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xml:space="preserve">1.新建文件柜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2.文件柜2(上柜带玻璃门) B=600 B1=500 柜内贴防火板</w:t>
            </w:r>
          </w:p>
        </w:tc>
        <w:tc>
          <w:tcPr>
            <w:tcW w:w="7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1064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B04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4FF22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nil"/>
            </w:tcBorders>
            <w:shd w:val="clear" w:color="auto" w:fill="auto"/>
            <w:vAlign w:val="center"/>
          </w:tcPr>
          <w:p w14:paraId="4571578E">
            <w:pPr>
              <w:widowControl/>
              <w:jc w:val="left"/>
              <w:textAlignment w:val="center"/>
              <w:rPr>
                <w:rFonts w:ascii="宋体" w:hAnsi="宋体" w:cs="宋体"/>
                <w:color w:val="000000"/>
                <w:sz w:val="18"/>
                <w:szCs w:val="18"/>
              </w:rPr>
            </w:pPr>
            <w:r>
              <w:rPr>
                <w:rFonts w:ascii="宋体" w:hAnsi="宋体" w:cs="宋体"/>
                <w:color w:val="000000"/>
                <w:kern w:val="0"/>
                <w:sz w:val="18"/>
                <w:szCs w:val="18"/>
              </w:rPr>
              <w:t>柜体深度65公分内等参考此单价</w:t>
            </w:r>
          </w:p>
        </w:tc>
      </w:tr>
      <w:tr w14:paraId="3CFC320F">
        <w:tblPrEx>
          <w:tblCellMar>
            <w:top w:w="0" w:type="dxa"/>
            <w:left w:w="108" w:type="dxa"/>
            <w:bottom w:w="0" w:type="dxa"/>
            <w:right w:w="108" w:type="dxa"/>
          </w:tblCellMar>
        </w:tblPrEx>
        <w:trPr>
          <w:trHeight w:val="118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79BF9">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天面、墙面、地面工程</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FFD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79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铝扣板天花吊顶</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54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1.名称:铝合金天面（含骨架）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2.面层材料品种、规格:1.2mm铝扣板600*600mm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3、龙骨材料种类：中距不上人型装配式U型轻钢天棚龙骨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07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BD1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D3510">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DB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原铝扣板天花保护性拆除并恢复执行此单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价，不单独计算拆除费用</w:t>
            </w:r>
          </w:p>
        </w:tc>
      </w:tr>
      <w:tr w14:paraId="5F54F902">
        <w:tblPrEx>
          <w:tblCellMar>
            <w:top w:w="0" w:type="dxa"/>
            <w:left w:w="108" w:type="dxa"/>
            <w:bottom w:w="0" w:type="dxa"/>
            <w:right w:w="108" w:type="dxa"/>
          </w:tblCellMar>
        </w:tblPrEx>
        <w:trPr>
          <w:trHeight w:val="15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D24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CD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E0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石膏吊顶天面含龙骨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67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1.名称:石膏天面 面层:刮腻子两遍，面刷白色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乳胶漆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2、基层材料种类、规格:双层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9mm阻燃夹板+9mm石膏板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3、龙骨材料种类、规格、中距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:不上人型装配式U型轻钢天棚龙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骨</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88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65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652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797D7">
            <w:pPr>
              <w:jc w:val="center"/>
              <w:rPr>
                <w:rFonts w:ascii="宋体" w:hAnsi="宋体" w:cs="宋体"/>
                <w:color w:val="000000"/>
                <w:sz w:val="18"/>
                <w:szCs w:val="18"/>
              </w:rPr>
            </w:pPr>
          </w:p>
        </w:tc>
      </w:tr>
      <w:tr w14:paraId="52EF137F">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EB6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6E0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643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铝塑板吊顶天面含龙骨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D99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含龙骨、防火板、铝板总厚度大于0.4mm</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21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141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CACB">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81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铝塑板墙面参考此单价</w:t>
            </w:r>
          </w:p>
        </w:tc>
      </w:tr>
      <w:tr w14:paraId="1B9C263E">
        <w:tblPrEx>
          <w:tblCellMar>
            <w:top w:w="0" w:type="dxa"/>
            <w:left w:w="108" w:type="dxa"/>
            <w:bottom w:w="0" w:type="dxa"/>
            <w:right w:w="108" w:type="dxa"/>
          </w:tblCellMar>
        </w:tblPrEx>
        <w:trPr>
          <w:trHeight w:val="9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454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7BD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4C9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天面雨棚</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58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1.名称:阳光板、彩钢瓦等，含钢筋支架</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07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D7D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927AB">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76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PC阳光板、亚克力板、彩钢夹芯板等材质屋面参考此综合单价</w:t>
            </w:r>
          </w:p>
        </w:tc>
      </w:tr>
      <w:tr w14:paraId="5D931B5F">
        <w:tblPrEx>
          <w:tblCellMar>
            <w:top w:w="0" w:type="dxa"/>
            <w:left w:w="108" w:type="dxa"/>
            <w:bottom w:w="0" w:type="dxa"/>
            <w:right w:w="108" w:type="dxa"/>
          </w:tblCellMar>
        </w:tblPrEx>
        <w:trPr>
          <w:trHeight w:val="5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E9A5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888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46A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定制移动收缩雨棚</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35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不锈钢(镀锌钢管)骨架防水雨布，双向万向轮(60公分间距)</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E7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54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9FE0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7F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现场安装定位固定</w:t>
            </w:r>
          </w:p>
        </w:tc>
      </w:tr>
      <w:tr w14:paraId="3D9BF17C">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58637">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C75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41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块料墙面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A9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1.名称:墙面瓷砖</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38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530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B731">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A32A">
            <w:pPr>
              <w:jc w:val="center"/>
              <w:rPr>
                <w:rFonts w:ascii="宋体" w:hAnsi="宋体" w:cs="宋体"/>
                <w:color w:val="000000"/>
                <w:sz w:val="18"/>
                <w:szCs w:val="18"/>
              </w:rPr>
            </w:pPr>
          </w:p>
        </w:tc>
      </w:tr>
      <w:tr w14:paraId="46D675C7">
        <w:tblPrEx>
          <w:tblCellMar>
            <w:top w:w="0" w:type="dxa"/>
            <w:left w:w="108" w:type="dxa"/>
            <w:bottom w:w="0" w:type="dxa"/>
            <w:right w:w="108" w:type="dxa"/>
          </w:tblCellMar>
        </w:tblPrEx>
        <w:trPr>
          <w:trHeight w:val="37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ABA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252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F1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石材楼地面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44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1.名称:地面瓷砖</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0B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398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78968">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0B52">
            <w:pPr>
              <w:jc w:val="center"/>
              <w:rPr>
                <w:rFonts w:ascii="宋体" w:hAnsi="宋体" w:cs="宋体"/>
                <w:color w:val="000000"/>
                <w:sz w:val="18"/>
                <w:szCs w:val="18"/>
              </w:rPr>
            </w:pPr>
          </w:p>
        </w:tc>
      </w:tr>
      <w:tr w14:paraId="070BBD2A">
        <w:tblPrEx>
          <w:tblCellMar>
            <w:top w:w="0" w:type="dxa"/>
            <w:left w:w="108" w:type="dxa"/>
            <w:bottom w:w="0" w:type="dxa"/>
            <w:right w:w="108" w:type="dxa"/>
          </w:tblCellMar>
        </w:tblPrEx>
        <w:trPr>
          <w:trHeight w:val="116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0D8D">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E4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212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石膏板隔断含轻钢龙骨</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03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1、名称:双面石膏板隔墙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2、骨架、边框材料种类、规格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:90系列轻钢龙骨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3、隔板材料品种、规格、颜色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:9mm阻燃板</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AC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FF8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0254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C9C6">
            <w:pPr>
              <w:jc w:val="center"/>
              <w:rPr>
                <w:rFonts w:ascii="宋体" w:hAnsi="宋体" w:cs="宋体"/>
                <w:color w:val="000000"/>
                <w:sz w:val="18"/>
                <w:szCs w:val="18"/>
              </w:rPr>
            </w:pPr>
          </w:p>
        </w:tc>
      </w:tr>
      <w:tr w14:paraId="593C70BC">
        <w:tblPrEx>
          <w:tblCellMar>
            <w:top w:w="0" w:type="dxa"/>
            <w:left w:w="108" w:type="dxa"/>
            <w:bottom w:w="0" w:type="dxa"/>
            <w:right w:w="108" w:type="dxa"/>
          </w:tblCellMar>
        </w:tblPrEx>
        <w:trPr>
          <w:trHeight w:val="14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EC37">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39D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35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钢化玻璃隔断含铝合金龙骨架</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F7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1、名称:不锈钢玻璃隔断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2、边框材料种类、规格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:60*100*1.2mm厚不锈钢方通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3、玻璃品种、规格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:12mm厚钢化磨砂玻璃</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2D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97C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5944F">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4556">
            <w:pPr>
              <w:jc w:val="center"/>
              <w:rPr>
                <w:rFonts w:ascii="宋体" w:hAnsi="宋体" w:cs="宋体"/>
                <w:color w:val="000000"/>
                <w:sz w:val="18"/>
                <w:szCs w:val="18"/>
              </w:rPr>
            </w:pPr>
          </w:p>
        </w:tc>
      </w:tr>
      <w:tr w14:paraId="4B03CD0F">
        <w:tblPrEx>
          <w:tblCellMar>
            <w:top w:w="0" w:type="dxa"/>
            <w:left w:w="108" w:type="dxa"/>
            <w:bottom w:w="0" w:type="dxa"/>
            <w:right w:w="108" w:type="dxa"/>
          </w:tblCellMar>
        </w:tblPrEx>
        <w:trPr>
          <w:trHeight w:val="14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3BF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5A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AD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水泥砂浆找平地面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62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厚度100mm以内(砂浆)混凝土浇筑</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DF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C42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ECC91">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7A81">
            <w:pPr>
              <w:jc w:val="center"/>
              <w:rPr>
                <w:rFonts w:ascii="宋体" w:hAnsi="宋体" w:cs="宋体"/>
                <w:color w:val="000000"/>
                <w:sz w:val="18"/>
                <w:szCs w:val="18"/>
              </w:rPr>
            </w:pPr>
          </w:p>
        </w:tc>
      </w:tr>
      <w:tr w14:paraId="2D100BD7">
        <w:tblPrEx>
          <w:tblCellMar>
            <w:top w:w="0" w:type="dxa"/>
            <w:left w:w="108" w:type="dxa"/>
            <w:bottom w:w="0" w:type="dxa"/>
            <w:right w:w="108" w:type="dxa"/>
          </w:tblCellMar>
        </w:tblPrEx>
        <w:trPr>
          <w:trHeight w:val="8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E8D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AAD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59E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混凝土地面、路面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72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厚度200mm以内C30混凝土浇筑找平</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EA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55F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152ED">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4245">
            <w:pPr>
              <w:jc w:val="center"/>
              <w:rPr>
                <w:rFonts w:ascii="宋体" w:hAnsi="宋体" w:cs="宋体"/>
                <w:color w:val="000000"/>
                <w:sz w:val="18"/>
                <w:szCs w:val="18"/>
              </w:rPr>
            </w:pPr>
          </w:p>
        </w:tc>
      </w:tr>
      <w:tr w14:paraId="55B2396F">
        <w:tblPrEx>
          <w:tblCellMar>
            <w:top w:w="0" w:type="dxa"/>
            <w:left w:w="108" w:type="dxa"/>
            <w:bottom w:w="0" w:type="dxa"/>
            <w:right w:w="108" w:type="dxa"/>
          </w:tblCellMar>
        </w:tblPrEx>
        <w:trPr>
          <w:trHeight w:val="8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BFA82">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FB9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50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地板胶楼地面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E3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1、面层:2mm同质透心地胶板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2、找平层:4mm自流平</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F8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6DC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F40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91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地板胶为国内一线品牌</w:t>
            </w:r>
          </w:p>
        </w:tc>
      </w:tr>
      <w:tr w14:paraId="20E57748">
        <w:tblPrEx>
          <w:tblCellMar>
            <w:top w:w="0" w:type="dxa"/>
            <w:left w:w="108" w:type="dxa"/>
            <w:bottom w:w="0" w:type="dxa"/>
            <w:right w:w="108" w:type="dxa"/>
          </w:tblCellMar>
        </w:tblPrEx>
        <w:trPr>
          <w:trHeight w:val="8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11CA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D55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A6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墙体砌筑</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B8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水泥砂浆砌筑墙体</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F7B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立方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565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1F4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B1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不区分墙体厚度和砖体材质</w:t>
            </w:r>
          </w:p>
        </w:tc>
      </w:tr>
      <w:tr w14:paraId="1A3F84BB">
        <w:tblPrEx>
          <w:tblCellMar>
            <w:top w:w="0" w:type="dxa"/>
            <w:left w:w="108" w:type="dxa"/>
            <w:bottom w:w="0" w:type="dxa"/>
            <w:right w:w="108" w:type="dxa"/>
          </w:tblCellMar>
        </w:tblPrEx>
        <w:trPr>
          <w:trHeight w:val="6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92A02">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4E5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C8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水泥砂浆批荡找平2-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5cm</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C1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水泥砂浆批荡找平2-5cm</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CB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5E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4D91">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FC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含挂钢丝网</w:t>
            </w:r>
          </w:p>
        </w:tc>
      </w:tr>
      <w:tr w14:paraId="50F8B5C6">
        <w:tblPrEx>
          <w:tblCellMar>
            <w:top w:w="0" w:type="dxa"/>
            <w:left w:w="108" w:type="dxa"/>
            <w:bottom w:w="0" w:type="dxa"/>
            <w:right w:w="108" w:type="dxa"/>
          </w:tblCellMar>
        </w:tblPrEx>
        <w:trPr>
          <w:trHeight w:val="7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869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84B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E7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墙面修补</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7D4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基层铲除、刷防水两遍、腻子粉找平两遍、打磨、乳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胶漆两遍</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3B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9CA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715C5">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FD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各种地面、天花等修补参考此单价</w:t>
            </w:r>
          </w:p>
        </w:tc>
      </w:tr>
      <w:tr w14:paraId="6F5AA90D">
        <w:tblPrEx>
          <w:tblCellMar>
            <w:top w:w="0" w:type="dxa"/>
            <w:left w:w="108" w:type="dxa"/>
            <w:bottom w:w="0" w:type="dxa"/>
            <w:right w:w="108" w:type="dxa"/>
          </w:tblCellMar>
        </w:tblPrEx>
        <w:trPr>
          <w:trHeight w:val="4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CCB5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91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AF42">
            <w:pPr>
              <w:widowControl/>
              <w:jc w:val="left"/>
              <w:textAlignment w:val="center"/>
              <w:rPr>
                <w:rFonts w:ascii="Arial" w:hAnsi="Arial" w:cs="Arial"/>
                <w:color w:val="000000"/>
                <w:sz w:val="22"/>
                <w:szCs w:val="22"/>
              </w:rPr>
            </w:pPr>
            <w:r>
              <w:rPr>
                <w:rStyle w:val="408"/>
              </w:rPr>
              <w:t>新做乳胶漆墙面</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7C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乳胶漆二遍、刮白胶腻子找平两遍、打磨、底层处理</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84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54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6F01">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B7CE">
            <w:pPr>
              <w:widowControl/>
              <w:jc w:val="center"/>
              <w:textAlignment w:val="center"/>
              <w:rPr>
                <w:rFonts w:ascii="Arial" w:hAnsi="Arial" w:cs="Arial"/>
                <w:color w:val="000000"/>
                <w:sz w:val="22"/>
                <w:szCs w:val="22"/>
              </w:rPr>
            </w:pPr>
            <w:r>
              <w:rPr>
                <w:rStyle w:val="408"/>
              </w:rPr>
              <w:t>包含20%墙面刷防水材料</w:t>
            </w:r>
          </w:p>
        </w:tc>
      </w:tr>
      <w:tr w14:paraId="67164C37">
        <w:tblPrEx>
          <w:tblCellMar>
            <w:top w:w="0" w:type="dxa"/>
            <w:left w:w="108" w:type="dxa"/>
            <w:bottom w:w="0" w:type="dxa"/>
            <w:right w:w="108" w:type="dxa"/>
          </w:tblCellMar>
        </w:tblPrEx>
        <w:trPr>
          <w:trHeight w:val="4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154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F17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9B6B">
            <w:pPr>
              <w:widowControl/>
              <w:jc w:val="left"/>
              <w:textAlignment w:val="center"/>
              <w:rPr>
                <w:rFonts w:ascii="Arial" w:hAnsi="Arial" w:cs="Arial"/>
                <w:color w:val="000000"/>
                <w:sz w:val="22"/>
                <w:szCs w:val="22"/>
              </w:rPr>
            </w:pPr>
            <w:r>
              <w:rPr>
                <w:rStyle w:val="408"/>
              </w:rPr>
              <w:t>墙面乳胶漆粉刷</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86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乳胶漆二遍</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83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2B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CF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401">
            <w:pPr>
              <w:widowControl/>
              <w:jc w:val="center"/>
              <w:textAlignment w:val="center"/>
              <w:rPr>
                <w:rFonts w:ascii="Arial" w:hAnsi="Arial" w:cs="Arial"/>
                <w:color w:val="000000"/>
                <w:sz w:val="22"/>
                <w:szCs w:val="22"/>
              </w:rPr>
            </w:pPr>
            <w:r>
              <w:rPr>
                <w:rStyle w:val="408"/>
              </w:rPr>
              <w:t>包含20%以内的墙面修复及刷防水</w:t>
            </w:r>
          </w:p>
        </w:tc>
      </w:tr>
      <w:tr w14:paraId="1B81C317">
        <w:tblPrEx>
          <w:tblCellMar>
            <w:top w:w="0" w:type="dxa"/>
            <w:left w:w="108" w:type="dxa"/>
            <w:bottom w:w="0" w:type="dxa"/>
            <w:right w:w="108" w:type="dxa"/>
          </w:tblCellMar>
        </w:tblPrEx>
        <w:trPr>
          <w:trHeight w:val="5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9A64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C5F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50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墙面贴瓷砖</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317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1.墙面涂刷界面剂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2.专用胶粘剂（砂浆）贴砖</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79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3BA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0387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ED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不区分瓷砖规格</w:t>
            </w:r>
          </w:p>
        </w:tc>
      </w:tr>
      <w:tr w14:paraId="169A4A73">
        <w:tblPrEx>
          <w:tblCellMar>
            <w:top w:w="0" w:type="dxa"/>
            <w:left w:w="108" w:type="dxa"/>
            <w:bottom w:w="0" w:type="dxa"/>
            <w:right w:w="108" w:type="dxa"/>
          </w:tblCellMar>
        </w:tblPrEx>
        <w:trPr>
          <w:trHeight w:val="4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C69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6BC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F29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踢脚线</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DB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含安装及固定</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E0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米</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717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0EE02">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D18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含瓷砖、大理石、不锈钢、铝合金等材质</w:t>
            </w:r>
          </w:p>
        </w:tc>
      </w:tr>
      <w:tr w14:paraId="48EF8A35">
        <w:tblPrEx>
          <w:tblCellMar>
            <w:top w:w="0" w:type="dxa"/>
            <w:left w:w="108" w:type="dxa"/>
            <w:bottom w:w="0" w:type="dxa"/>
            <w:right w:w="108" w:type="dxa"/>
          </w:tblCellMar>
        </w:tblPrEx>
        <w:trPr>
          <w:trHeight w:val="400" w:hRule="atLeast"/>
          <w:jc w:val="center"/>
        </w:trPr>
        <w:tc>
          <w:tcPr>
            <w:tcW w:w="1008" w:type="dxa"/>
            <w:vMerge w:val="restart"/>
            <w:tcBorders>
              <w:top w:val="nil"/>
              <w:left w:val="single" w:color="000000" w:sz="4" w:space="0"/>
              <w:bottom w:val="single" w:color="000000" w:sz="4" w:space="0"/>
              <w:right w:val="single" w:color="000000" w:sz="4" w:space="0"/>
            </w:tcBorders>
            <w:shd w:val="clear" w:color="auto" w:fill="auto"/>
            <w:vAlign w:val="center"/>
          </w:tcPr>
          <w:p w14:paraId="56B1B002">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其他工程</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99B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BE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镜子安装</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69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带边框含安装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800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5A1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22E25">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3E8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面积0.5平方米以内各种镜子</w:t>
            </w:r>
          </w:p>
        </w:tc>
      </w:tr>
      <w:tr w14:paraId="650694F0">
        <w:tblPrEx>
          <w:tblCellMar>
            <w:top w:w="0" w:type="dxa"/>
            <w:left w:w="108" w:type="dxa"/>
            <w:bottom w:w="0" w:type="dxa"/>
            <w:right w:w="108" w:type="dxa"/>
          </w:tblCellMar>
        </w:tblPrEx>
        <w:trPr>
          <w:trHeight w:val="400" w:hRule="atLeast"/>
          <w:jc w:val="center"/>
        </w:trPr>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77C6CE2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3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A4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吸烟罩</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49D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1.名称:吸烟罩</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8E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6D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99A33">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1D36C">
            <w:pPr>
              <w:jc w:val="center"/>
              <w:rPr>
                <w:rFonts w:ascii="宋体" w:hAnsi="宋体" w:cs="宋体"/>
                <w:color w:val="000000"/>
                <w:sz w:val="18"/>
                <w:szCs w:val="18"/>
              </w:rPr>
            </w:pPr>
          </w:p>
        </w:tc>
      </w:tr>
      <w:tr w14:paraId="02F7D4E7">
        <w:tblPrEx>
          <w:tblCellMar>
            <w:top w:w="0" w:type="dxa"/>
            <w:left w:w="108" w:type="dxa"/>
            <w:bottom w:w="0" w:type="dxa"/>
            <w:right w:w="108" w:type="dxa"/>
          </w:tblCellMar>
        </w:tblPrEx>
        <w:trPr>
          <w:trHeight w:val="400" w:hRule="atLeast"/>
          <w:jc w:val="center"/>
        </w:trPr>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334B6615">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AED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12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消防栓柜</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F6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1.名称:不锈钢消防栓箱，空箱，650*450*220mm,201#</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249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0B0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D00A7">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9F2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超出尺寸按实际尺寸计费</w:t>
            </w:r>
          </w:p>
        </w:tc>
      </w:tr>
      <w:tr w14:paraId="1E91C4A8">
        <w:tblPrEx>
          <w:tblCellMar>
            <w:top w:w="0" w:type="dxa"/>
            <w:left w:w="108" w:type="dxa"/>
            <w:bottom w:w="0" w:type="dxa"/>
            <w:right w:w="108" w:type="dxa"/>
          </w:tblCellMar>
        </w:tblPrEx>
        <w:trPr>
          <w:trHeight w:val="400" w:hRule="atLeast"/>
          <w:jc w:val="center"/>
        </w:trPr>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79750F51">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79E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50D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消防栓玻璃</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D7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1.名称：消防栓玻璃更换，安装</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01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3F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ECCDD">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412C8">
            <w:pPr>
              <w:jc w:val="center"/>
              <w:rPr>
                <w:rFonts w:ascii="宋体" w:hAnsi="宋体" w:cs="宋体"/>
                <w:color w:val="000000"/>
                <w:sz w:val="18"/>
                <w:szCs w:val="18"/>
              </w:rPr>
            </w:pPr>
          </w:p>
        </w:tc>
      </w:tr>
      <w:tr w14:paraId="32604A53">
        <w:tblPrEx>
          <w:tblCellMar>
            <w:top w:w="0" w:type="dxa"/>
            <w:left w:w="108" w:type="dxa"/>
            <w:bottom w:w="0" w:type="dxa"/>
            <w:right w:w="108" w:type="dxa"/>
          </w:tblCellMar>
        </w:tblPrEx>
        <w:trPr>
          <w:trHeight w:val="500" w:hRule="atLeast"/>
          <w:jc w:val="center"/>
        </w:trPr>
        <w:tc>
          <w:tcPr>
            <w:tcW w:w="1008" w:type="dxa"/>
            <w:vMerge w:val="continue"/>
            <w:tcBorders>
              <w:top w:val="nil"/>
              <w:left w:val="single" w:color="000000" w:sz="4" w:space="0"/>
              <w:bottom w:val="single" w:color="000000" w:sz="4" w:space="0"/>
              <w:right w:val="single" w:color="000000" w:sz="4" w:space="0"/>
            </w:tcBorders>
            <w:shd w:val="clear" w:color="auto" w:fill="auto"/>
            <w:vAlign w:val="center"/>
          </w:tcPr>
          <w:p w14:paraId="4CA7B916">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749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B8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其他维修</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1E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1.名称:其他维修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2.含以后未知的拆除及维修费用，暂定金额</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0B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9B9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9AA3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440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按市场价格调节</w:t>
            </w:r>
          </w:p>
        </w:tc>
      </w:tr>
      <w:tr w14:paraId="0301A93F">
        <w:tblPrEx>
          <w:tblCellMar>
            <w:top w:w="0" w:type="dxa"/>
            <w:left w:w="108" w:type="dxa"/>
            <w:bottom w:w="0" w:type="dxa"/>
            <w:right w:w="108" w:type="dxa"/>
          </w:tblCellMar>
        </w:tblPrEx>
        <w:trPr>
          <w:trHeight w:val="285"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458DF">
            <w:pPr>
              <w:widowControl/>
              <w:jc w:val="center"/>
              <w:textAlignment w:val="center"/>
              <w:rPr>
                <w:rFonts w:ascii="宋体" w:hAnsi="宋体" w:cs="宋体"/>
                <w:b/>
                <w:bCs/>
                <w:color w:val="000000"/>
                <w:sz w:val="20"/>
              </w:rPr>
            </w:pPr>
            <w:r>
              <w:rPr>
                <w:rFonts w:hint="eastAsia" w:ascii="宋体" w:hAnsi="宋体" w:cs="宋体"/>
                <w:b/>
                <w:bCs/>
                <w:color w:val="000000"/>
                <w:kern w:val="0"/>
                <w:sz w:val="20"/>
              </w:rPr>
              <w:t>防水工程</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063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CB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地面做防水三遍</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CA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含基层清理及处理，面层保护等</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A5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774C4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ADD7A4">
            <w:pPr>
              <w:widowControl/>
              <w:jc w:val="center"/>
              <w:textAlignment w:val="bottom"/>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FA3D">
            <w:pPr>
              <w:jc w:val="center"/>
              <w:rPr>
                <w:rFonts w:ascii="宋体" w:hAnsi="宋体" w:cs="宋体"/>
                <w:color w:val="000000"/>
                <w:sz w:val="18"/>
                <w:szCs w:val="18"/>
              </w:rPr>
            </w:pPr>
          </w:p>
        </w:tc>
      </w:tr>
      <w:tr w14:paraId="5CD8F2FA">
        <w:tblPrEx>
          <w:tblCellMar>
            <w:top w:w="0" w:type="dxa"/>
            <w:left w:w="108" w:type="dxa"/>
            <w:bottom w:w="0" w:type="dxa"/>
            <w:right w:w="108" w:type="dxa"/>
          </w:tblCellMar>
        </w:tblPrEx>
        <w:trPr>
          <w:trHeight w:val="285"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F3F9">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B5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C92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墙面刷防水二遍</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58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含基层清理及处理，面层保护等</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EF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DE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5473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553B">
            <w:pPr>
              <w:jc w:val="center"/>
              <w:rPr>
                <w:rFonts w:ascii="宋体" w:hAnsi="宋体" w:cs="宋体"/>
                <w:color w:val="000000"/>
                <w:sz w:val="18"/>
                <w:szCs w:val="18"/>
              </w:rPr>
            </w:pPr>
          </w:p>
        </w:tc>
      </w:tr>
      <w:tr w14:paraId="272F522D">
        <w:tblPrEx>
          <w:tblCellMar>
            <w:top w:w="0" w:type="dxa"/>
            <w:left w:w="108" w:type="dxa"/>
            <w:bottom w:w="0" w:type="dxa"/>
            <w:right w:w="108" w:type="dxa"/>
          </w:tblCellMar>
        </w:tblPrEx>
        <w:trPr>
          <w:trHeight w:val="285"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BD4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389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60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屋面卷材防水</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04AA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含基层清理及处理，面层保护等</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D0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平方</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C5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5315">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1D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4mm改性沥青防水卷材</w:t>
            </w:r>
          </w:p>
        </w:tc>
      </w:tr>
      <w:tr w14:paraId="282543E1">
        <w:tblPrEx>
          <w:tblCellMar>
            <w:top w:w="0" w:type="dxa"/>
            <w:left w:w="108" w:type="dxa"/>
            <w:bottom w:w="0" w:type="dxa"/>
            <w:right w:w="108" w:type="dxa"/>
          </w:tblCellMar>
        </w:tblPrEx>
        <w:trPr>
          <w:trHeight w:val="4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FFF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14A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A9D45">
            <w:pPr>
              <w:widowControl/>
              <w:jc w:val="left"/>
              <w:textAlignment w:val="bottom"/>
              <w:rPr>
                <w:rFonts w:ascii="宋体" w:hAnsi="宋体" w:cs="宋体"/>
                <w:color w:val="000000"/>
                <w:sz w:val="20"/>
              </w:rPr>
            </w:pPr>
            <w:r>
              <w:rPr>
                <w:rFonts w:hint="eastAsia" w:ascii="宋体" w:hAnsi="宋体" w:cs="宋体"/>
                <w:color w:val="000000"/>
                <w:kern w:val="0"/>
                <w:sz w:val="20"/>
              </w:rPr>
              <w:t>伸缩缝漏水处理</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920D3">
            <w:pPr>
              <w:widowControl/>
              <w:jc w:val="left"/>
              <w:textAlignment w:val="bottom"/>
              <w:rPr>
                <w:rFonts w:ascii="宋体" w:hAnsi="宋体" w:cs="宋体"/>
                <w:color w:val="000000"/>
                <w:sz w:val="20"/>
              </w:rPr>
            </w:pPr>
            <w:r>
              <w:rPr>
                <w:rFonts w:hint="eastAsia" w:ascii="宋体" w:hAnsi="宋体" w:cs="宋体"/>
                <w:color w:val="000000"/>
                <w:kern w:val="0"/>
                <w:sz w:val="20"/>
              </w:rPr>
              <w:t>伸缩缝隙、沉降缝漏水处理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3094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米</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1BDEF">
            <w:pPr>
              <w:widowControl/>
              <w:jc w:val="center"/>
              <w:textAlignment w:val="bottom"/>
              <w:rPr>
                <w:rFonts w:ascii="宋体" w:hAnsi="宋体" w:cs="宋体"/>
                <w:color w:val="000000"/>
                <w:sz w:val="20"/>
              </w:rPr>
            </w:pPr>
            <w:r>
              <w:rPr>
                <w:rFonts w:hint="eastAsia" w:ascii="宋体" w:hAnsi="宋体" w:cs="宋体"/>
                <w:color w:val="000000"/>
                <w:kern w:val="0"/>
                <w:sz w:val="20"/>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57436">
            <w:pPr>
              <w:widowControl/>
              <w:jc w:val="center"/>
              <w:textAlignment w:val="bottom"/>
              <w:rPr>
                <w:rFonts w:ascii="宋体" w:hAnsi="宋体" w:cs="宋体"/>
                <w:color w:val="000000"/>
                <w:sz w:val="20"/>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E1FB8">
            <w:pPr>
              <w:widowControl/>
              <w:jc w:val="center"/>
              <w:textAlignment w:val="bottom"/>
              <w:rPr>
                <w:rFonts w:ascii="宋体" w:hAnsi="宋体" w:cs="宋体"/>
                <w:color w:val="000000"/>
                <w:sz w:val="20"/>
              </w:rPr>
            </w:pPr>
            <w:r>
              <w:rPr>
                <w:rFonts w:hint="eastAsia" w:ascii="宋体" w:hAnsi="宋体" w:cs="宋体"/>
                <w:color w:val="000000"/>
                <w:kern w:val="0"/>
                <w:sz w:val="20"/>
              </w:rPr>
              <w:t>含原有升缩缝清理，不锈钢挡水槽制作安装，防水处理等</w:t>
            </w:r>
          </w:p>
        </w:tc>
      </w:tr>
      <w:tr w14:paraId="0244F00B">
        <w:tblPrEx>
          <w:tblCellMar>
            <w:top w:w="0" w:type="dxa"/>
            <w:left w:w="108" w:type="dxa"/>
            <w:bottom w:w="0" w:type="dxa"/>
            <w:right w:w="108" w:type="dxa"/>
          </w:tblCellMar>
        </w:tblPrEx>
        <w:trPr>
          <w:trHeight w:val="4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D6BF2">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799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3B3C3">
            <w:pPr>
              <w:widowControl/>
              <w:jc w:val="left"/>
              <w:textAlignment w:val="bottom"/>
              <w:rPr>
                <w:rFonts w:ascii="宋体" w:hAnsi="宋体" w:cs="宋体"/>
                <w:color w:val="000000"/>
                <w:sz w:val="20"/>
              </w:rPr>
            </w:pPr>
            <w:r>
              <w:rPr>
                <w:rFonts w:hint="eastAsia" w:ascii="宋体" w:hAnsi="宋体" w:cs="宋体"/>
                <w:color w:val="000000"/>
                <w:kern w:val="0"/>
                <w:sz w:val="20"/>
              </w:rPr>
              <w:t>防水胶防水处理</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7C96F">
            <w:pPr>
              <w:widowControl/>
              <w:jc w:val="left"/>
              <w:textAlignment w:val="bottom"/>
              <w:rPr>
                <w:rFonts w:ascii="宋体" w:hAnsi="宋体" w:cs="宋体"/>
                <w:color w:val="000000"/>
                <w:sz w:val="20"/>
              </w:rPr>
            </w:pPr>
            <w:r>
              <w:rPr>
                <w:rFonts w:hint="eastAsia" w:ascii="宋体" w:hAnsi="宋体" w:cs="宋体"/>
                <w:color w:val="000000"/>
                <w:kern w:val="0"/>
                <w:sz w:val="20"/>
              </w:rPr>
              <w:t>含基层清理及处理，面层保护等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A6CA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米</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66CF7">
            <w:pPr>
              <w:widowControl/>
              <w:jc w:val="center"/>
              <w:textAlignment w:val="bottom"/>
              <w:rPr>
                <w:rFonts w:ascii="宋体" w:hAnsi="宋体" w:cs="宋体"/>
                <w:color w:val="000000"/>
                <w:sz w:val="20"/>
              </w:rPr>
            </w:pPr>
            <w:r>
              <w:rPr>
                <w:rFonts w:hint="eastAsia" w:ascii="宋体" w:hAnsi="宋体" w:cs="宋体"/>
                <w:color w:val="000000"/>
                <w:kern w:val="0"/>
                <w:sz w:val="20"/>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AD473">
            <w:pPr>
              <w:widowControl/>
              <w:jc w:val="center"/>
              <w:textAlignment w:val="bottom"/>
              <w:rPr>
                <w:rFonts w:ascii="宋体" w:hAnsi="宋体" w:cs="宋体"/>
                <w:color w:val="000000"/>
                <w:sz w:val="20"/>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D1E27">
            <w:pPr>
              <w:widowControl/>
              <w:jc w:val="center"/>
              <w:textAlignment w:val="bottom"/>
              <w:rPr>
                <w:rFonts w:ascii="宋体" w:hAnsi="宋体" w:cs="宋体"/>
                <w:color w:val="000000"/>
                <w:sz w:val="20"/>
              </w:rPr>
            </w:pPr>
            <w:r>
              <w:rPr>
                <w:rFonts w:hint="eastAsia" w:ascii="宋体" w:hAnsi="宋体" w:cs="宋体"/>
                <w:color w:val="000000"/>
                <w:kern w:val="0"/>
                <w:sz w:val="20"/>
              </w:rPr>
              <w:t>幕墙玻璃胶、室外防水胶更换、室内漏水裂缝处理</w:t>
            </w:r>
          </w:p>
        </w:tc>
      </w:tr>
      <w:tr w14:paraId="65A73432">
        <w:tblPrEx>
          <w:tblCellMar>
            <w:top w:w="0" w:type="dxa"/>
            <w:left w:w="108" w:type="dxa"/>
            <w:bottom w:w="0" w:type="dxa"/>
            <w:right w:w="108" w:type="dxa"/>
          </w:tblCellMar>
        </w:tblPrEx>
        <w:trPr>
          <w:trHeight w:val="4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FD8EA">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60E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33261">
            <w:pPr>
              <w:widowControl/>
              <w:jc w:val="left"/>
              <w:textAlignment w:val="bottom"/>
              <w:rPr>
                <w:rFonts w:ascii="宋体" w:hAnsi="宋体" w:cs="宋体"/>
                <w:color w:val="000000"/>
                <w:sz w:val="20"/>
              </w:rPr>
            </w:pPr>
            <w:r>
              <w:rPr>
                <w:rFonts w:hint="eastAsia" w:ascii="宋体" w:hAnsi="宋体" w:cs="宋体"/>
                <w:color w:val="000000"/>
                <w:kern w:val="0"/>
                <w:sz w:val="20"/>
              </w:rPr>
              <w:t>漏水点防水处理</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39BC0">
            <w:pPr>
              <w:widowControl/>
              <w:jc w:val="left"/>
              <w:textAlignment w:val="bottom"/>
              <w:rPr>
                <w:rFonts w:ascii="宋体" w:hAnsi="宋体" w:cs="宋体"/>
                <w:color w:val="000000"/>
                <w:sz w:val="20"/>
              </w:rPr>
            </w:pPr>
            <w:r>
              <w:rPr>
                <w:rFonts w:hint="eastAsia" w:ascii="宋体" w:hAnsi="宋体" w:cs="宋体"/>
                <w:color w:val="000000"/>
                <w:kern w:val="0"/>
                <w:sz w:val="20"/>
              </w:rPr>
              <w:t>建筑物单个部位漏水点处理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CEEA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个</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0F31E">
            <w:pPr>
              <w:widowControl/>
              <w:jc w:val="center"/>
              <w:textAlignment w:val="bottom"/>
              <w:rPr>
                <w:rFonts w:ascii="宋体" w:hAnsi="宋体" w:cs="宋体"/>
                <w:color w:val="000000"/>
                <w:sz w:val="20"/>
              </w:rPr>
            </w:pPr>
            <w:r>
              <w:rPr>
                <w:rFonts w:hint="eastAsia" w:ascii="宋体" w:hAnsi="宋体" w:cs="宋体"/>
                <w:color w:val="000000"/>
                <w:kern w:val="0"/>
                <w:sz w:val="20"/>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C5811">
            <w:pPr>
              <w:widowControl/>
              <w:jc w:val="center"/>
              <w:textAlignment w:val="bottom"/>
              <w:rPr>
                <w:rFonts w:ascii="宋体" w:hAnsi="宋体" w:cs="宋体"/>
                <w:color w:val="000000"/>
                <w:sz w:val="20"/>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39B4C1">
            <w:pPr>
              <w:widowControl/>
              <w:jc w:val="center"/>
              <w:textAlignment w:val="bottom"/>
              <w:rPr>
                <w:rFonts w:ascii="宋体" w:hAnsi="宋体" w:cs="宋体"/>
                <w:color w:val="000000"/>
                <w:sz w:val="20"/>
              </w:rPr>
            </w:pPr>
            <w:r>
              <w:rPr>
                <w:rFonts w:hint="eastAsia" w:ascii="宋体" w:hAnsi="宋体" w:cs="宋体"/>
                <w:color w:val="000000"/>
                <w:kern w:val="0"/>
                <w:sz w:val="20"/>
              </w:rPr>
              <w:t>包含必要的拆除及恢复、现场成品保护</w:t>
            </w:r>
          </w:p>
        </w:tc>
      </w:tr>
      <w:tr w14:paraId="7C8E61AD">
        <w:tblPrEx>
          <w:tblCellMar>
            <w:top w:w="0" w:type="dxa"/>
            <w:left w:w="108" w:type="dxa"/>
            <w:bottom w:w="0" w:type="dxa"/>
            <w:right w:w="108" w:type="dxa"/>
          </w:tblCellMar>
        </w:tblPrEx>
        <w:trPr>
          <w:trHeight w:val="24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40B05">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措施</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EF2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9DCD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活动脚手架</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E74BD">
            <w:pPr>
              <w:widowControl/>
              <w:jc w:val="left"/>
              <w:textAlignment w:val="bottom"/>
              <w:rPr>
                <w:rFonts w:ascii="宋体" w:hAnsi="宋体" w:cs="宋体"/>
                <w:color w:val="000000"/>
                <w:sz w:val="20"/>
              </w:rPr>
            </w:pPr>
            <w:r>
              <w:rPr>
                <w:rFonts w:hint="eastAsia" w:ascii="宋体" w:hAnsi="宋体" w:cs="宋体"/>
                <w:color w:val="000000"/>
                <w:kern w:val="0"/>
                <w:sz w:val="20"/>
              </w:rPr>
              <w:t xml:space="preserve">1、墙面砌筑与装饰墙面脚手架 </w:t>
            </w:r>
            <w:r>
              <w:rPr>
                <w:rFonts w:hint="eastAsia" w:ascii="宋体" w:hAnsi="宋体" w:cs="宋体"/>
                <w:color w:val="000000"/>
                <w:kern w:val="0"/>
                <w:sz w:val="20"/>
              </w:rPr>
              <w:br w:type="textWrapping"/>
            </w:r>
            <w:r>
              <w:rPr>
                <w:rFonts w:hint="eastAsia" w:ascii="宋体" w:hAnsi="宋体" w:cs="宋体"/>
                <w:color w:val="000000"/>
                <w:kern w:val="0"/>
                <w:sz w:val="20"/>
              </w:rPr>
              <w:t>2、1.5米以上装饰计算</w:t>
            </w:r>
          </w:p>
        </w:tc>
        <w:tc>
          <w:tcPr>
            <w:tcW w:w="7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8DAC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85B7">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30321A">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614DD">
            <w:pPr>
              <w:jc w:val="center"/>
              <w:rPr>
                <w:rFonts w:ascii="宋体" w:hAnsi="宋体" w:cs="宋体"/>
                <w:color w:val="000000"/>
                <w:sz w:val="20"/>
              </w:rPr>
            </w:pPr>
          </w:p>
        </w:tc>
      </w:tr>
      <w:tr w14:paraId="1039C569">
        <w:tblPrEx>
          <w:tblCellMar>
            <w:top w:w="0" w:type="dxa"/>
            <w:left w:w="108" w:type="dxa"/>
            <w:bottom w:w="0" w:type="dxa"/>
            <w:right w:w="108" w:type="dxa"/>
          </w:tblCellMar>
        </w:tblPrEx>
        <w:trPr>
          <w:trHeight w:val="24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B9E8">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EBF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E556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活动脚手架</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5E95D">
            <w:pPr>
              <w:widowControl/>
              <w:jc w:val="left"/>
              <w:textAlignment w:val="bottom"/>
              <w:rPr>
                <w:rFonts w:ascii="宋体" w:hAnsi="宋体" w:cs="宋体"/>
                <w:color w:val="000000"/>
                <w:sz w:val="20"/>
              </w:rPr>
            </w:pPr>
            <w:r>
              <w:rPr>
                <w:rFonts w:hint="eastAsia" w:ascii="宋体" w:hAnsi="宋体" w:cs="宋体"/>
                <w:color w:val="000000"/>
                <w:kern w:val="0"/>
                <w:sz w:val="20"/>
              </w:rPr>
              <w:t>1、天棚面装饰及修整脚手架</w:t>
            </w:r>
          </w:p>
        </w:tc>
        <w:tc>
          <w:tcPr>
            <w:tcW w:w="7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AC41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nil"/>
              <w:right w:val="single" w:color="000000" w:sz="4" w:space="0"/>
            </w:tcBorders>
            <w:shd w:val="clear" w:color="auto" w:fill="auto"/>
            <w:vAlign w:val="center"/>
          </w:tcPr>
          <w:p w14:paraId="08B74A4A">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D4EB96">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6B2C9">
            <w:pPr>
              <w:jc w:val="center"/>
              <w:rPr>
                <w:rFonts w:ascii="宋体" w:hAnsi="宋体" w:cs="宋体"/>
                <w:color w:val="000000"/>
                <w:sz w:val="20"/>
              </w:rPr>
            </w:pPr>
          </w:p>
        </w:tc>
      </w:tr>
      <w:tr w14:paraId="62732049">
        <w:tblPrEx>
          <w:tblCellMar>
            <w:top w:w="0" w:type="dxa"/>
            <w:left w:w="108" w:type="dxa"/>
            <w:bottom w:w="0" w:type="dxa"/>
            <w:right w:w="108" w:type="dxa"/>
          </w:tblCellMar>
        </w:tblPrEx>
        <w:trPr>
          <w:trHeight w:val="148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64DDC">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B6A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9BB3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玻璃拆、安装措施费（含高空作业）</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0B7D3">
            <w:pPr>
              <w:widowControl/>
              <w:jc w:val="left"/>
              <w:textAlignment w:val="bottom"/>
              <w:rPr>
                <w:rFonts w:ascii="宋体" w:hAnsi="宋体" w:cs="宋体"/>
                <w:color w:val="000000"/>
                <w:sz w:val="20"/>
              </w:rPr>
            </w:pPr>
            <w:r>
              <w:rPr>
                <w:rFonts w:hint="eastAsia" w:ascii="宋体" w:hAnsi="宋体" w:cs="宋体"/>
                <w:color w:val="000000"/>
                <w:kern w:val="0"/>
                <w:sz w:val="20"/>
              </w:rPr>
              <w:t>1、地面安全警戒，安全警示牌，警戒线，标语，有人值守，警戒尺寸30m*20m</w:t>
            </w:r>
            <w:r>
              <w:rPr>
                <w:rFonts w:hint="eastAsia" w:ascii="宋体" w:hAnsi="宋体" w:cs="宋体"/>
                <w:color w:val="000000"/>
                <w:kern w:val="0"/>
                <w:sz w:val="20"/>
              </w:rPr>
              <w:br w:type="textWrapping"/>
            </w:r>
            <w:r>
              <w:rPr>
                <w:rFonts w:hint="eastAsia" w:ascii="宋体" w:hAnsi="宋体" w:cs="宋体"/>
                <w:color w:val="000000"/>
                <w:kern w:val="0"/>
                <w:sz w:val="20"/>
              </w:rPr>
              <w:t>2、工作面(处)设置安全兜网3m*6m，并设置系挂</w:t>
            </w:r>
            <w:r>
              <w:rPr>
                <w:rFonts w:hint="eastAsia" w:ascii="宋体" w:hAnsi="宋体" w:cs="宋体"/>
                <w:color w:val="000000"/>
                <w:kern w:val="0"/>
                <w:sz w:val="20"/>
              </w:rPr>
              <w:br w:type="textWrapping"/>
            </w:r>
            <w:r>
              <w:rPr>
                <w:rFonts w:hint="eastAsia" w:ascii="宋体" w:hAnsi="宋体" w:cs="宋体"/>
                <w:color w:val="000000"/>
                <w:kern w:val="0"/>
                <w:sz w:val="20"/>
              </w:rPr>
              <w:t>3、悬吊高空作业，系佩绳索双保险施工(-主索一副索)，有人值守</w:t>
            </w:r>
            <w:r>
              <w:rPr>
                <w:rFonts w:hint="eastAsia" w:ascii="宋体" w:hAnsi="宋体" w:cs="宋体"/>
                <w:color w:val="000000"/>
                <w:kern w:val="0"/>
                <w:sz w:val="20"/>
              </w:rPr>
              <w:br w:type="textWrapping"/>
            </w:r>
            <w:r>
              <w:rPr>
                <w:rFonts w:hint="eastAsia" w:ascii="宋体" w:hAnsi="宋体" w:cs="宋体"/>
                <w:color w:val="000000"/>
                <w:kern w:val="0"/>
                <w:sz w:val="20"/>
              </w:rPr>
              <w:t>4、按确认的专项施工方案内容使用</w:t>
            </w:r>
          </w:p>
        </w:tc>
        <w:tc>
          <w:tcPr>
            <w:tcW w:w="7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EE15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A1D8">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842960">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5FDFB">
            <w:pPr>
              <w:jc w:val="center"/>
              <w:rPr>
                <w:rFonts w:ascii="宋体" w:hAnsi="宋体" w:cs="宋体"/>
                <w:color w:val="000000"/>
                <w:sz w:val="20"/>
              </w:rPr>
            </w:pPr>
          </w:p>
        </w:tc>
      </w:tr>
      <w:tr w14:paraId="3235CBB7">
        <w:tblPrEx>
          <w:tblCellMar>
            <w:top w:w="0" w:type="dxa"/>
            <w:left w:w="108" w:type="dxa"/>
            <w:bottom w:w="0" w:type="dxa"/>
            <w:right w:w="108" w:type="dxa"/>
          </w:tblCellMar>
        </w:tblPrEx>
        <w:trPr>
          <w:trHeight w:val="10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BF70">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7F3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47308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玻璃拆、安装措施费（不含高空作业）</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7FE897">
            <w:pPr>
              <w:widowControl/>
              <w:jc w:val="left"/>
              <w:textAlignment w:val="bottom"/>
              <w:rPr>
                <w:rFonts w:ascii="宋体" w:hAnsi="宋体" w:cs="宋体"/>
                <w:color w:val="000000"/>
                <w:sz w:val="20"/>
              </w:rPr>
            </w:pPr>
            <w:r>
              <w:rPr>
                <w:rFonts w:hint="eastAsia" w:ascii="宋体" w:hAnsi="宋体" w:cs="宋体"/>
                <w:color w:val="000000"/>
                <w:kern w:val="0"/>
                <w:sz w:val="20"/>
              </w:rPr>
              <w:t>1、地面安全警戒，安全警示牌，警戒线，标语，有人值守，警戒尺寸30m*20m</w:t>
            </w:r>
            <w:r>
              <w:rPr>
                <w:rFonts w:hint="eastAsia" w:ascii="宋体" w:hAnsi="宋体" w:cs="宋体"/>
                <w:color w:val="000000"/>
                <w:kern w:val="0"/>
                <w:sz w:val="20"/>
              </w:rPr>
              <w:br w:type="textWrapping"/>
            </w:r>
            <w:r>
              <w:rPr>
                <w:rFonts w:hint="eastAsia" w:ascii="宋体" w:hAnsi="宋体" w:cs="宋体"/>
                <w:color w:val="000000"/>
                <w:kern w:val="0"/>
                <w:sz w:val="20"/>
              </w:rPr>
              <w:t>2、工作面(处)设置安全兜网3m*6m，并设置系挂</w:t>
            </w:r>
            <w:r>
              <w:rPr>
                <w:rFonts w:hint="eastAsia" w:ascii="宋体" w:hAnsi="宋体" w:cs="宋体"/>
                <w:color w:val="000000"/>
                <w:kern w:val="0"/>
                <w:sz w:val="20"/>
              </w:rPr>
              <w:br w:type="textWrapping"/>
            </w:r>
            <w:r>
              <w:rPr>
                <w:rFonts w:hint="eastAsia" w:ascii="宋体" w:hAnsi="宋体" w:cs="宋体"/>
                <w:color w:val="000000"/>
                <w:kern w:val="0"/>
                <w:sz w:val="20"/>
              </w:rPr>
              <w:t>3、按确认的专项施工方案内容使用</w:t>
            </w:r>
          </w:p>
        </w:tc>
        <w:tc>
          <w:tcPr>
            <w:tcW w:w="7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BE6C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843" w:type="dxa"/>
            <w:tcBorders>
              <w:top w:val="single" w:color="000000" w:sz="4" w:space="0"/>
              <w:left w:val="single" w:color="000000" w:sz="4" w:space="0"/>
              <w:bottom w:val="nil"/>
              <w:right w:val="single" w:color="000000" w:sz="4" w:space="0"/>
            </w:tcBorders>
            <w:shd w:val="clear" w:color="auto" w:fill="auto"/>
            <w:vAlign w:val="center"/>
          </w:tcPr>
          <w:p w14:paraId="57634AB4">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44BA74">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0C8C3">
            <w:pPr>
              <w:jc w:val="center"/>
              <w:rPr>
                <w:rFonts w:ascii="宋体" w:hAnsi="宋体" w:cs="宋体"/>
                <w:color w:val="000000"/>
                <w:sz w:val="20"/>
              </w:rPr>
            </w:pPr>
          </w:p>
        </w:tc>
      </w:tr>
      <w:tr w14:paraId="635093BB">
        <w:tblPrEx>
          <w:tblCellMar>
            <w:top w:w="0" w:type="dxa"/>
            <w:left w:w="108" w:type="dxa"/>
            <w:bottom w:w="0" w:type="dxa"/>
            <w:right w:w="108" w:type="dxa"/>
          </w:tblCellMar>
        </w:tblPrEx>
        <w:trPr>
          <w:trHeight w:val="1000"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F6EF">
            <w:pPr>
              <w:jc w:val="center"/>
              <w:rPr>
                <w:rFonts w:ascii="宋体" w:hAnsi="宋体" w:cs="宋体"/>
                <w:b/>
                <w:bCs/>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204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0E88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保护性施工、场地保洁费</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56806F">
            <w:pPr>
              <w:widowControl/>
              <w:jc w:val="left"/>
              <w:textAlignment w:val="bottom"/>
              <w:rPr>
                <w:rFonts w:ascii="宋体" w:hAnsi="宋体" w:cs="宋体"/>
                <w:color w:val="000000"/>
                <w:sz w:val="20"/>
              </w:rPr>
            </w:pPr>
            <w:r>
              <w:rPr>
                <w:rFonts w:hint="eastAsia" w:ascii="宋体" w:hAnsi="宋体" w:cs="宋体"/>
                <w:color w:val="000000"/>
                <w:kern w:val="0"/>
                <w:sz w:val="20"/>
              </w:rPr>
              <w:t xml:space="preserve">1、保护室内物品(遮盖三色布等)； </w:t>
            </w:r>
            <w:r>
              <w:rPr>
                <w:rFonts w:hint="eastAsia" w:ascii="宋体" w:hAnsi="宋体" w:cs="宋体"/>
                <w:color w:val="000000"/>
                <w:kern w:val="0"/>
                <w:sz w:val="20"/>
              </w:rPr>
              <w:br w:type="textWrapping"/>
            </w:r>
            <w:r>
              <w:rPr>
                <w:rFonts w:hint="eastAsia" w:ascii="宋体" w:hAnsi="宋体" w:cs="宋体"/>
                <w:color w:val="000000"/>
                <w:kern w:val="0"/>
                <w:sz w:val="20"/>
              </w:rPr>
              <w:t xml:space="preserve">2、搬挪家具； </w:t>
            </w:r>
            <w:r>
              <w:rPr>
                <w:rFonts w:hint="eastAsia" w:ascii="宋体" w:hAnsi="宋体" w:cs="宋体"/>
                <w:color w:val="000000"/>
                <w:kern w:val="0"/>
                <w:sz w:val="20"/>
              </w:rPr>
              <w:br w:type="textWrapping"/>
            </w:r>
            <w:r>
              <w:rPr>
                <w:rFonts w:hint="eastAsia" w:ascii="宋体" w:hAnsi="宋体" w:cs="宋体"/>
                <w:color w:val="000000"/>
                <w:kern w:val="0"/>
                <w:sz w:val="20"/>
              </w:rPr>
              <w:t xml:space="preserve">3、成品保护； </w:t>
            </w:r>
            <w:r>
              <w:rPr>
                <w:rFonts w:hint="eastAsia" w:ascii="宋体" w:hAnsi="宋体" w:cs="宋体"/>
                <w:color w:val="000000"/>
                <w:kern w:val="0"/>
                <w:sz w:val="20"/>
              </w:rPr>
              <w:br w:type="textWrapping"/>
            </w:r>
            <w:r>
              <w:rPr>
                <w:rFonts w:hint="eastAsia" w:ascii="宋体" w:hAnsi="宋体" w:cs="宋体"/>
                <w:color w:val="000000"/>
                <w:kern w:val="0"/>
                <w:sz w:val="20"/>
              </w:rPr>
              <w:t>4、完工施工现场清扫、保洁</w:t>
            </w:r>
          </w:p>
        </w:tc>
        <w:tc>
          <w:tcPr>
            <w:tcW w:w="7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46F3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C00F">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1.00 </w:t>
            </w:r>
          </w:p>
        </w:tc>
        <w:tc>
          <w:tcPr>
            <w:tcW w:w="101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D2FCB0">
            <w:pPr>
              <w:widowControl/>
              <w:jc w:val="center"/>
              <w:textAlignment w:val="center"/>
              <w:rPr>
                <w:rFonts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030E7">
            <w:pPr>
              <w:jc w:val="center"/>
              <w:rPr>
                <w:rFonts w:ascii="宋体" w:hAnsi="宋体" w:cs="宋体"/>
                <w:color w:val="000000"/>
                <w:sz w:val="20"/>
              </w:rPr>
            </w:pPr>
          </w:p>
        </w:tc>
      </w:tr>
    </w:tbl>
    <w:p w14:paraId="3D9D646E">
      <w:pPr>
        <w:pStyle w:val="3"/>
      </w:pPr>
    </w:p>
    <w:p w14:paraId="09184160">
      <w:r>
        <w:br w:type="page"/>
      </w:r>
    </w:p>
    <w:p w14:paraId="2EBD5BBB">
      <w:pPr>
        <w:pStyle w:val="3"/>
      </w:pPr>
    </w:p>
    <w:p w14:paraId="76F23855">
      <w:pPr>
        <w:pStyle w:val="34"/>
        <w:rPr>
          <w:rFonts w:ascii="宋体" w:hAnsi="宋体"/>
          <w:szCs w:val="21"/>
        </w:rPr>
      </w:pPr>
      <w:r>
        <w:rPr>
          <w:rFonts w:hint="eastAsia" w:ascii="宋体" w:hAnsi="宋体"/>
          <w:szCs w:val="21"/>
        </w:rPr>
        <w:t>政府采购违法行为风险知悉确认书</w:t>
      </w:r>
    </w:p>
    <w:p w14:paraId="4E8F584A">
      <w:pPr>
        <w:spacing w:line="360" w:lineRule="auto"/>
        <w:rPr>
          <w:rFonts w:ascii="Calibri" w:hAnsi="Calibri" w:eastAsia="宋体"/>
          <w:kern w:val="2"/>
          <w:sz w:val="21"/>
        </w:rPr>
      </w:pPr>
    </w:p>
    <w:p w14:paraId="4A109572">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本公司在投标前已充分知悉以下情形为参与政府采购活动时的重大风险事项，并承诺已对下述风险提示事项重点排查，做到严谨、诚信、依法依规参与政府采购活动。</w:t>
      </w:r>
    </w:p>
    <w:p w14:paraId="44325522">
      <w:pPr>
        <w:widowControl w:val="0"/>
        <w:spacing w:line="360" w:lineRule="auto"/>
        <w:ind w:firstLine="498" w:firstLineChars="236"/>
        <w:rPr>
          <w:rFonts w:ascii="宋体" w:hAnsi="宋体" w:eastAsia="宋体"/>
          <w:b/>
          <w:color w:val="000000"/>
          <w:kern w:val="2"/>
          <w:sz w:val="21"/>
          <w:szCs w:val="21"/>
        </w:rPr>
      </w:pPr>
      <w:r>
        <w:rPr>
          <w:rFonts w:hint="eastAsia" w:ascii="宋体" w:hAnsi="宋体" w:eastAsia="宋体"/>
          <w:b/>
          <w:color w:val="000000"/>
          <w:kern w:val="2"/>
          <w:sz w:val="21"/>
          <w:szCs w:val="21"/>
        </w:rPr>
        <w:t>一、本公司已充分知悉“隐瞒真实情况，提供虚假资料”的法定情形，相关情形包括但不限于：</w:t>
      </w:r>
    </w:p>
    <w:p w14:paraId="517A3BA5">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（一）通过转让或者租借等方式从其他单位获取资格或者资质证书投标的。</w:t>
      </w:r>
    </w:p>
    <w:p w14:paraId="47EA2614">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（二）由其他单位或者其他单位负责人在投标供应商编制的投标文件上加盖印章或者签字的。</w:t>
      </w:r>
    </w:p>
    <w:p w14:paraId="61824D50">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（三）项目负责人或者主要技术人员不是本单位人员的。</w:t>
      </w:r>
    </w:p>
    <w:p w14:paraId="43A9B9F3">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（四）投标保证金不是从投标供应商基本账户转出的。</w:t>
      </w:r>
    </w:p>
    <w:p w14:paraId="26CF4BEE">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（五）其他隐瞒真实情况、提供虚假资料的行为。</w:t>
      </w:r>
    </w:p>
    <w:p w14:paraId="4C5FA801">
      <w:pPr>
        <w:widowControl w:val="0"/>
        <w:spacing w:line="360" w:lineRule="auto"/>
        <w:ind w:firstLine="498" w:firstLineChars="236"/>
        <w:rPr>
          <w:rFonts w:ascii="宋体" w:hAnsi="宋体" w:eastAsia="宋体"/>
          <w:b/>
          <w:color w:val="000000"/>
          <w:kern w:val="2"/>
          <w:sz w:val="21"/>
          <w:szCs w:val="21"/>
        </w:rPr>
      </w:pPr>
      <w:r>
        <w:rPr>
          <w:rFonts w:hint="eastAsia" w:ascii="宋体" w:hAnsi="宋体" w:eastAsia="宋体"/>
          <w:b/>
          <w:color w:val="000000"/>
          <w:kern w:val="2"/>
          <w:sz w:val="21"/>
          <w:szCs w:val="21"/>
        </w:rPr>
        <w:t>二、本公司已充分知悉“与其他采购参加人串通投标”的法定情形，相关情形包括但不限于：</w:t>
      </w:r>
    </w:p>
    <w:p w14:paraId="00B36C33">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（一）投标供应商之间相互约定给予未中标的供应商利益补偿。</w:t>
      </w:r>
    </w:p>
    <w:p w14:paraId="4F1985B4">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（二）不同投标供应商的法定代表人、主要经营负责人、项目投标授权代表人、项目负责人、主要技术人员为同一人、属同一单位或者在同一单位缴纳社会保险。</w:t>
      </w:r>
    </w:p>
    <w:p w14:paraId="152EE5F6">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（三）不同投标供应商的投标文件由同一单位或者同一人编制，或者由同一人分阶段参与编制的。</w:t>
      </w:r>
    </w:p>
    <w:p w14:paraId="53DE0A65">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（四）不同投标供应商的投标文件或部分投标文件相互混装。</w:t>
      </w:r>
    </w:p>
    <w:p w14:paraId="5CED968B">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（五）不同投标供应商的投标文件内容存在非正常一致。</w:t>
      </w:r>
    </w:p>
    <w:p w14:paraId="6BAF1345">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（六）由同一单位工作人员为两家以上（含两家）供应商进行同一项投标活动的。</w:t>
      </w:r>
    </w:p>
    <w:p w14:paraId="21E6E2B1">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（七）不同投标人的投标报价呈规律性差异。</w:t>
      </w:r>
    </w:p>
    <w:p w14:paraId="705F67F5">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（八）不同投标人的投标保证金从同一单位或者个人的账户转出。</w:t>
      </w:r>
    </w:p>
    <w:p w14:paraId="0D86873F">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（九）主管部门依照法律、法规认定的其他情形。</w:t>
      </w:r>
    </w:p>
    <w:p w14:paraId="6B61AF3D">
      <w:pPr>
        <w:widowControl w:val="0"/>
        <w:spacing w:line="360" w:lineRule="auto"/>
        <w:ind w:firstLine="498" w:firstLineChars="236"/>
        <w:rPr>
          <w:rFonts w:ascii="宋体" w:hAnsi="宋体" w:eastAsia="宋体"/>
          <w:b/>
          <w:color w:val="000000"/>
          <w:kern w:val="2"/>
          <w:sz w:val="21"/>
          <w:szCs w:val="21"/>
        </w:rPr>
      </w:pPr>
      <w:r>
        <w:rPr>
          <w:rFonts w:hint="eastAsia" w:ascii="宋体" w:hAnsi="宋体" w:eastAsia="宋体"/>
          <w:b/>
          <w:color w:val="000000"/>
          <w:kern w:val="2"/>
          <w:sz w:val="21"/>
          <w:szCs w:val="21"/>
        </w:rPr>
        <w:t>三、本公司已充分知悉下列情形所对应的法律风险，并在投标前已对相关风险事项进行排查。</w:t>
      </w:r>
    </w:p>
    <w:p w14:paraId="726932B2">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（一）对于从其他主体获取的投标资料，供应商应审慎核查，确保投标资料的真实性。</w:t>
      </w:r>
      <w:r>
        <w:rPr>
          <w:rFonts w:hint="eastAsia" w:ascii="宋体" w:hAnsi="宋体" w:eastAsia="宋体"/>
          <w:b/>
          <w:color w:val="000000"/>
          <w:kern w:val="2"/>
          <w:sz w:val="21"/>
          <w:szCs w:val="21"/>
        </w:rPr>
        <w:t>如主管部门查实投标文件中存在虚假资料的，无论相关资料是否由第三方或本公司员工提供，均不影响主管部门对供应商存在“隐瞒真实情况，提供虚假资料”违法行为的认定。</w:t>
      </w:r>
    </w:p>
    <w:p w14:paraId="1ABFC8C1">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992EB6D">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（三）对于涉及安全生产、特种作业、抢险救灾、防疫等政府采购项目，供应商实施提供虚假资料、串通投标等违法行为的，主管部门将依法从严处理。</w:t>
      </w:r>
    </w:p>
    <w:p w14:paraId="47A7BFEA">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40A0E5D">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F1454F9">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6EA4552">
      <w:pPr>
        <w:widowControl w:val="0"/>
        <w:spacing w:line="360" w:lineRule="auto"/>
        <w:ind w:firstLine="498" w:firstLineChars="236"/>
        <w:rPr>
          <w:rFonts w:ascii="宋体" w:hAnsi="宋体" w:eastAsia="宋体"/>
          <w:b/>
          <w:color w:val="000000"/>
          <w:kern w:val="2"/>
          <w:sz w:val="21"/>
          <w:szCs w:val="21"/>
        </w:rPr>
      </w:pPr>
      <w:r>
        <w:rPr>
          <w:rFonts w:hint="eastAsia" w:ascii="宋体" w:hAnsi="宋体" w:eastAsia="宋体"/>
          <w:b/>
          <w:color w:val="000000"/>
          <w:kern w:val="2"/>
          <w:sz w:val="21"/>
          <w:szCs w:val="21"/>
        </w:rPr>
        <w:t>四、本公司已充分知悉政府采购违法、违规行为的法律后果。</w:t>
      </w:r>
    </w:p>
    <w:p w14:paraId="0855038E">
      <w:pPr>
        <w:widowControl w:val="0"/>
        <w:spacing w:line="360" w:lineRule="auto"/>
        <w:ind w:firstLine="495" w:firstLineChars="236"/>
        <w:rPr>
          <w:rFonts w:ascii="宋体" w:hAnsi="宋体" w:eastAsia="宋体"/>
          <w:color w:val="000000"/>
          <w:kern w:val="2"/>
          <w:sz w:val="21"/>
          <w:szCs w:val="21"/>
        </w:rPr>
      </w:pPr>
      <w:r>
        <w:rPr>
          <w:rFonts w:hint="eastAsia" w:ascii="宋体" w:hAnsi="宋体" w:eastAsia="宋体"/>
          <w:color w:val="000000"/>
          <w:kern w:val="2"/>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3909266">
      <w:pPr>
        <w:widowControl w:val="0"/>
        <w:spacing w:line="360" w:lineRule="auto"/>
        <w:ind w:firstLine="495" w:firstLineChars="236"/>
        <w:rPr>
          <w:rFonts w:ascii="Calibri" w:hAnsi="Calibri" w:eastAsia="宋体"/>
          <w:kern w:val="2"/>
          <w:sz w:val="21"/>
        </w:rPr>
      </w:pPr>
      <w:r>
        <w:rPr>
          <w:rFonts w:hint="eastAsia" w:ascii="宋体" w:hAnsi="宋体" w:eastAsia="宋体"/>
          <w:color w:val="000000"/>
          <w:kern w:val="2"/>
          <w:sz w:val="21"/>
          <w:szCs w:val="21"/>
        </w:rPr>
        <w:t>以下文字请投标供应商抄写并确认：“本公司已仔细阅读《政府采购违法行为风险知悉确认书》，充分知悉违法行为的法律后果，并承诺将严谨、诚信、依法依规参与政府采购活动”。</w:t>
      </w:r>
    </w:p>
    <w:p w14:paraId="023F2D7D">
      <w:pPr>
        <w:spacing w:line="360" w:lineRule="auto"/>
        <w:ind w:firstLine="420" w:firstLineChars="200"/>
        <w:rPr>
          <w:rFonts w:ascii="宋体" w:hAnsi="宋体" w:eastAsia="宋体"/>
          <w:color w:val="000000"/>
          <w:sz w:val="21"/>
          <w:szCs w:val="21"/>
          <w:u w:val="single"/>
        </w:rPr>
      </w:pPr>
    </w:p>
    <w:p w14:paraId="6D89B019">
      <w:pPr>
        <w:spacing w:line="360" w:lineRule="auto"/>
        <w:ind w:firstLine="420" w:firstLineChars="200"/>
        <w:rPr>
          <w:rFonts w:ascii="宋体" w:hAnsi="宋体" w:eastAsia="宋体"/>
          <w:color w:val="000000"/>
          <w:sz w:val="21"/>
          <w:szCs w:val="21"/>
          <w:u w:val="single"/>
        </w:rPr>
      </w:pPr>
    </w:p>
    <w:p w14:paraId="259E843A">
      <w:pPr>
        <w:spacing w:line="360" w:lineRule="auto"/>
        <w:ind w:firstLine="420" w:firstLineChars="200"/>
        <w:rPr>
          <w:rFonts w:ascii="宋体" w:hAnsi="宋体" w:eastAsia="宋体"/>
          <w:color w:val="000000"/>
          <w:sz w:val="21"/>
          <w:szCs w:val="21"/>
          <w:u w:val="single"/>
        </w:rPr>
      </w:pPr>
    </w:p>
    <w:p w14:paraId="0DA55EEA">
      <w:pPr>
        <w:spacing w:line="360" w:lineRule="auto"/>
        <w:ind w:firstLine="420" w:firstLineChars="200"/>
        <w:rPr>
          <w:rFonts w:ascii="宋体" w:hAnsi="宋体" w:eastAsia="宋体"/>
          <w:color w:val="000000"/>
          <w:sz w:val="21"/>
          <w:szCs w:val="21"/>
          <w:u w:val="single"/>
        </w:rPr>
      </w:pPr>
    </w:p>
    <w:p w14:paraId="775F4AF9">
      <w:pPr>
        <w:spacing w:line="360" w:lineRule="auto"/>
        <w:ind w:firstLine="420" w:firstLineChars="200"/>
        <w:rPr>
          <w:rFonts w:ascii="宋体" w:hAnsi="宋体" w:eastAsia="宋体"/>
          <w:color w:val="000000"/>
          <w:sz w:val="21"/>
          <w:szCs w:val="21"/>
          <w:u w:val="single"/>
        </w:rPr>
      </w:pPr>
    </w:p>
    <w:p w14:paraId="2CE5A082">
      <w:pPr>
        <w:spacing w:line="360" w:lineRule="auto"/>
        <w:ind w:firstLine="420" w:firstLineChars="200"/>
        <w:rPr>
          <w:rFonts w:ascii="宋体" w:hAnsi="宋体" w:eastAsia="宋体"/>
          <w:color w:val="000000"/>
          <w:sz w:val="21"/>
          <w:szCs w:val="21"/>
          <w:u w:val="single"/>
        </w:rPr>
      </w:pPr>
    </w:p>
    <w:p w14:paraId="6F981C1E">
      <w:pPr>
        <w:spacing w:line="360" w:lineRule="auto"/>
        <w:ind w:firstLine="420" w:firstLineChars="200"/>
        <w:rPr>
          <w:rFonts w:ascii="宋体" w:hAnsi="宋体" w:eastAsia="宋体"/>
          <w:color w:val="000000"/>
          <w:sz w:val="21"/>
          <w:szCs w:val="21"/>
          <w:u w:val="single"/>
        </w:rPr>
      </w:pPr>
    </w:p>
    <w:p w14:paraId="5EA8F927">
      <w:pPr>
        <w:spacing w:line="360" w:lineRule="auto"/>
        <w:ind w:left="3780" w:firstLine="420"/>
        <w:rPr>
          <w:rFonts w:ascii="宋体" w:hAnsi="宋体" w:eastAsia="宋体"/>
          <w:color w:val="000000"/>
          <w:sz w:val="21"/>
          <w:szCs w:val="21"/>
        </w:rPr>
      </w:pPr>
      <w:r>
        <w:rPr>
          <w:rFonts w:hint="eastAsia" w:ascii="宋体" w:hAnsi="宋体" w:eastAsia="宋体"/>
          <w:color w:val="000000"/>
          <w:sz w:val="21"/>
          <w:szCs w:val="21"/>
        </w:rPr>
        <w:t>负责人</w:t>
      </w:r>
      <w:r>
        <w:rPr>
          <w:rFonts w:ascii="宋体" w:hAnsi="宋体" w:eastAsia="宋体"/>
          <w:color w:val="000000"/>
          <w:sz w:val="21"/>
          <w:szCs w:val="21"/>
        </w:rPr>
        <w:t>/</w:t>
      </w:r>
      <w:r>
        <w:rPr>
          <w:rFonts w:hint="eastAsia" w:ascii="宋体" w:hAnsi="宋体" w:eastAsia="宋体"/>
          <w:color w:val="000000"/>
          <w:sz w:val="21"/>
          <w:szCs w:val="21"/>
        </w:rPr>
        <w:t>投标授权代表签名：</w:t>
      </w:r>
    </w:p>
    <w:p w14:paraId="1ADAABD5">
      <w:pPr>
        <w:spacing w:line="360" w:lineRule="auto"/>
        <w:ind w:left="3780" w:firstLine="420"/>
        <w:rPr>
          <w:rFonts w:ascii="宋体" w:hAnsi="宋体" w:eastAsia="宋体"/>
          <w:color w:val="000000"/>
          <w:sz w:val="21"/>
          <w:szCs w:val="21"/>
        </w:rPr>
      </w:pPr>
      <w:r>
        <w:rPr>
          <w:rFonts w:hint="eastAsia" w:ascii="宋体" w:hAnsi="宋体" w:eastAsia="宋体"/>
          <w:color w:val="000000"/>
          <w:sz w:val="21"/>
          <w:szCs w:val="21"/>
        </w:rPr>
        <w:t>知悉人（公章）：</w:t>
      </w:r>
    </w:p>
    <w:p w14:paraId="6C9C2127">
      <w:pPr>
        <w:spacing w:line="360" w:lineRule="auto"/>
        <w:ind w:left="3780" w:firstLine="420"/>
        <w:rPr>
          <w:rFonts w:ascii="宋体" w:hAnsi="宋体" w:eastAsia="宋体"/>
          <w:color w:val="000000"/>
          <w:sz w:val="21"/>
          <w:szCs w:val="21"/>
        </w:rPr>
      </w:pPr>
      <w:r>
        <w:rPr>
          <w:rFonts w:hint="eastAsia" w:ascii="宋体" w:hAnsi="宋体" w:eastAsia="宋体"/>
          <w:color w:val="000000"/>
          <w:sz w:val="21"/>
          <w:szCs w:val="21"/>
        </w:rPr>
        <w:t>日期：</w:t>
      </w:r>
    </w:p>
    <w:p w14:paraId="709E3777">
      <w:pPr>
        <w:widowControl w:val="0"/>
        <w:jc w:val="both"/>
        <w:rPr>
          <w:rFonts w:ascii="Calibri" w:hAnsi="Calibri" w:eastAsia="宋体"/>
          <w:kern w:val="2"/>
          <w:sz w:val="21"/>
        </w:rPr>
      </w:pPr>
    </w:p>
    <w:p w14:paraId="506F9ADF">
      <w:pPr>
        <w:pStyle w:val="4"/>
        <w:jc w:val="center"/>
      </w:pPr>
      <w:r>
        <w:br w:type="page"/>
      </w:r>
      <w:r>
        <w:rPr>
          <w:rFonts w:hint="eastAsia"/>
        </w:rPr>
        <w:t>第五章合同条款及格式</w:t>
      </w:r>
    </w:p>
    <w:p w14:paraId="3550C964">
      <w:pPr>
        <w:pageBreakBefore w:val="0"/>
        <w:tabs>
          <w:tab w:val="left" w:pos="1050"/>
          <w:tab w:val="left" w:pos="1260"/>
          <w:tab w:val="left" w:pos="1680"/>
          <w:tab w:val="left" w:pos="4095"/>
          <w:tab w:val="left" w:pos="5355"/>
        </w:tabs>
        <w:kinsoku/>
        <w:wordWrap w:val="0"/>
        <w:overflowPunct/>
        <w:topLinePunct w:val="0"/>
        <w:autoSpaceDE/>
        <w:autoSpaceDN/>
        <w:bidi w:val="0"/>
        <w:adjustRightInd w:val="0"/>
        <w:snapToGrid w:val="0"/>
        <w:spacing w:line="560" w:lineRule="exact"/>
        <w:ind w:left="0" w:leftChars="0" w:right="0" w:rightChars="0"/>
        <w:jc w:val="right"/>
        <w:textAlignment w:val="auto"/>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rPr>
        <w:t>合同编号：</w:t>
      </w:r>
      <w:r>
        <w:rPr>
          <w:rFonts w:hint="eastAsia" w:ascii="仿宋_GB2312" w:hAnsi="仿宋_GB2312" w:eastAsia="仿宋_GB2312" w:cs="仿宋_GB2312"/>
          <w:b w:val="0"/>
          <w:bCs w:val="0"/>
          <w:color w:val="000000"/>
          <w:sz w:val="32"/>
          <w:szCs w:val="32"/>
          <w:lang w:val="en-US" w:eastAsia="zh-CN"/>
        </w:rPr>
        <w:t xml:space="preserve">           </w:t>
      </w:r>
    </w:p>
    <w:p w14:paraId="3A41780E">
      <w:pPr>
        <w:pageBreakBefore w:val="0"/>
        <w:tabs>
          <w:tab w:val="left" w:pos="1050"/>
          <w:tab w:val="left" w:pos="1260"/>
          <w:tab w:val="left" w:pos="1680"/>
          <w:tab w:val="left" w:pos="4095"/>
          <w:tab w:val="left" w:pos="5355"/>
        </w:tabs>
        <w:kinsoku/>
        <w:wordWrap w:val="0"/>
        <w:overflowPunct/>
        <w:topLinePunct w:val="0"/>
        <w:autoSpaceDE/>
        <w:autoSpaceDN/>
        <w:bidi w:val="0"/>
        <w:adjustRightInd w:val="0"/>
        <w:snapToGrid w:val="0"/>
        <w:spacing w:line="560" w:lineRule="exact"/>
        <w:ind w:left="0" w:leftChars="0" w:right="0" w:rightChars="0"/>
        <w:jc w:val="right"/>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kern w:val="0"/>
          <w:sz w:val="32"/>
          <w:szCs w:val="32"/>
          <w:highlight w:val="none"/>
        </w:rPr>
        <w:t>工程</w:t>
      </w:r>
      <w:r>
        <w:rPr>
          <w:rFonts w:hint="eastAsia" w:ascii="仿宋_GB2312" w:hAnsi="仿宋_GB2312" w:eastAsia="仿宋_GB2312" w:cs="仿宋_GB2312"/>
          <w:b w:val="0"/>
          <w:bCs w:val="0"/>
          <w:color w:val="000000"/>
          <w:sz w:val="32"/>
          <w:szCs w:val="32"/>
        </w:rPr>
        <w:t>编号：</w:t>
      </w:r>
      <w:r>
        <w:rPr>
          <w:rFonts w:hint="eastAsia" w:ascii="仿宋_GB2312" w:hAnsi="仿宋_GB2312" w:eastAsia="仿宋_GB2312" w:cs="仿宋_GB2312"/>
          <w:b w:val="0"/>
          <w:bCs w:val="0"/>
          <w:color w:val="000000"/>
          <w:sz w:val="32"/>
          <w:szCs w:val="32"/>
          <w:lang w:val="en-US" w:eastAsia="zh-CN"/>
        </w:rPr>
        <w:t xml:space="preserve">           </w:t>
      </w:r>
    </w:p>
    <w:p w14:paraId="2884BFB9">
      <w:pPr>
        <w:spacing w:line="360" w:lineRule="auto"/>
        <w:jc w:val="both"/>
        <w:rPr>
          <w:rFonts w:hint="default" w:asciiTheme="majorEastAsia" w:hAnsiTheme="majorEastAsia" w:eastAsiaTheme="majorEastAsia" w:cstheme="majorEastAsia"/>
          <w:b/>
          <w:sz w:val="72"/>
          <w:szCs w:val="72"/>
          <w:highlight w:val="none"/>
          <w:lang w:val="en-US"/>
        </w:rPr>
      </w:pPr>
    </w:p>
    <w:p w14:paraId="1244CA8F">
      <w:pPr>
        <w:spacing w:line="360" w:lineRule="auto"/>
        <w:ind w:firstLine="0" w:firstLineChars="0"/>
        <w:jc w:val="both"/>
        <w:rPr>
          <w:rFonts w:hint="default" w:asciiTheme="majorEastAsia" w:hAnsiTheme="majorEastAsia" w:eastAsiaTheme="majorEastAsia" w:cstheme="majorEastAsia"/>
          <w:b/>
          <w:sz w:val="72"/>
          <w:szCs w:val="72"/>
          <w:highlight w:val="none"/>
          <w:lang w:val="en-US"/>
        </w:rPr>
      </w:pPr>
    </w:p>
    <w:p w14:paraId="696B3340">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ajorEastAsia" w:hAnsiTheme="majorEastAsia" w:eastAsiaTheme="majorEastAsia" w:cstheme="majorEastAsia"/>
          <w:b/>
          <w:bCs/>
          <w:color w:val="auto"/>
          <w:sz w:val="72"/>
          <w:szCs w:val="72"/>
          <w:highlight w:val="none"/>
          <w:lang w:val="en-US" w:eastAsia="zh-CN"/>
        </w:rPr>
      </w:pPr>
      <w:r>
        <w:rPr>
          <w:rFonts w:hint="eastAsia" w:asciiTheme="majorEastAsia" w:hAnsiTheme="majorEastAsia" w:eastAsiaTheme="majorEastAsia" w:cstheme="majorEastAsia"/>
          <w:b/>
          <w:bCs/>
          <w:color w:val="auto"/>
          <w:sz w:val="72"/>
          <w:szCs w:val="72"/>
          <w:highlight w:val="none"/>
          <w:lang w:val="en-US" w:eastAsia="zh-CN"/>
        </w:rPr>
        <w:t>福田区建设工程</w:t>
      </w:r>
    </w:p>
    <w:p w14:paraId="219ED22E">
      <w:pPr>
        <w:keepNext w:val="0"/>
        <w:keepLines w:val="0"/>
        <w:pageBreakBefore w:val="0"/>
        <w:widowControl w:val="0"/>
        <w:kinsoku/>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宋体" w:eastAsia="黑体" w:cs="Times New Roman"/>
          <w:b w:val="0"/>
          <w:sz w:val="52"/>
          <w:szCs w:val="52"/>
          <w:highlight w:val="none"/>
        </w:rPr>
      </w:pPr>
      <w:r>
        <w:rPr>
          <w:rFonts w:hint="eastAsia" w:asciiTheme="majorEastAsia" w:hAnsiTheme="majorEastAsia" w:eastAsiaTheme="majorEastAsia" w:cstheme="majorEastAsia"/>
          <w:b/>
          <w:bCs/>
          <w:color w:val="auto"/>
          <w:sz w:val="72"/>
          <w:szCs w:val="72"/>
          <w:highlight w:val="none"/>
          <w:lang w:val="en-US" w:eastAsia="zh-CN"/>
        </w:rPr>
        <w:t>施工(单价)合同</w:t>
      </w:r>
    </w:p>
    <w:p w14:paraId="3FD172CE">
      <w:pPr>
        <w:spacing w:line="240" w:lineRule="auto"/>
        <w:jc w:val="center"/>
        <w:outlineLvl w:val="9"/>
        <w:rPr>
          <w:rFonts w:hint="eastAsia" w:ascii="黑体" w:hAnsi="宋体" w:eastAsia="黑体" w:cs="Times New Roman"/>
          <w:b w:val="0"/>
          <w:sz w:val="32"/>
          <w:szCs w:val="32"/>
          <w:highlight w:val="none"/>
        </w:rPr>
      </w:pPr>
      <w:r>
        <w:rPr>
          <w:rFonts w:hint="eastAsia" w:ascii="黑体" w:hAnsi="宋体" w:eastAsia="黑体" w:cs="Times New Roman"/>
          <w:b w:val="0"/>
          <w:sz w:val="32"/>
          <w:szCs w:val="32"/>
          <w:highlight w:val="none"/>
        </w:rPr>
        <w:t>（适用于招标工程固定单价施工合同）</w:t>
      </w:r>
    </w:p>
    <w:p w14:paraId="596209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eastAsia="宋体" w:cs="Times New Roman"/>
          <w:sz w:val="44"/>
          <w:szCs w:val="44"/>
          <w:lang w:eastAsia="zh-CN"/>
        </w:rPr>
      </w:pPr>
      <w:r>
        <w:rPr>
          <w:rFonts w:hint="eastAsia" w:ascii="Calibri" w:hAnsi="Calibri" w:eastAsia="宋体" w:cs="Times New Roman"/>
          <w:sz w:val="44"/>
          <w:szCs w:val="44"/>
          <w:lang w:eastAsia="zh-CN"/>
        </w:rPr>
        <w:t>（示范文本）</w:t>
      </w:r>
    </w:p>
    <w:p w14:paraId="6FA80FA4">
      <w:pPr>
        <w:spacing w:line="360" w:lineRule="auto"/>
        <w:ind w:firstLine="0" w:firstLineChars="0"/>
        <w:jc w:val="both"/>
        <w:rPr>
          <w:rFonts w:ascii="仿宋_GB2312" w:hAnsi="仿宋_GB2312" w:eastAsia="仿宋_GB2312" w:cs="仿宋_GB2312"/>
          <w:sz w:val="28"/>
          <w:szCs w:val="28"/>
          <w:highlight w:val="none"/>
        </w:rPr>
      </w:pPr>
    </w:p>
    <w:p w14:paraId="37FCD771">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rPr>
        <w:t xml:space="preserve">        工程名称：</w:t>
      </w:r>
      <w:r>
        <w:rPr>
          <w:rFonts w:hint="eastAsia" w:ascii="仿宋_GB2312" w:hAnsi="仿宋_GB2312" w:eastAsia="仿宋_GB2312" w:cs="仿宋_GB2312"/>
          <w:b w:val="0"/>
          <w:bCs/>
          <w:sz w:val="32"/>
          <w:szCs w:val="32"/>
          <w:highlight w:val="none"/>
          <w:u w:val="single"/>
          <w:lang w:val="en-US" w:eastAsia="zh-CN"/>
        </w:rPr>
        <w:t xml:space="preserve">                             </w:t>
      </w:r>
    </w:p>
    <w:p w14:paraId="50DA11D2">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 xml:space="preserve">       </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工程地点：</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rPr>
        <w:t xml:space="preserve"> </w:t>
      </w:r>
    </w:p>
    <w:p w14:paraId="68A9215D">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 xml:space="preserve">        发包人（甲方）：</w:t>
      </w:r>
      <w:r>
        <w:rPr>
          <w:rFonts w:hint="eastAsia" w:ascii="仿宋_GB2312" w:hAnsi="仿宋_GB2312" w:eastAsia="仿宋_GB2312" w:cs="仿宋_GB2312"/>
          <w:b w:val="0"/>
          <w:bCs/>
          <w:sz w:val="32"/>
          <w:szCs w:val="32"/>
          <w:highlight w:val="none"/>
          <w:u w:val="single"/>
          <w:lang w:val="en-US" w:eastAsia="zh-CN"/>
        </w:rPr>
        <w:t xml:space="preserve">                       </w:t>
      </w:r>
      <w:r>
        <w:rPr>
          <w:rFonts w:hint="eastAsia" w:ascii="仿宋_GB2312" w:hAnsi="仿宋_GB2312" w:eastAsia="仿宋_GB2312" w:cs="仿宋_GB2312"/>
          <w:b w:val="0"/>
          <w:bCs/>
          <w:sz w:val="32"/>
          <w:szCs w:val="32"/>
          <w:highlight w:val="none"/>
        </w:rPr>
        <w:t xml:space="preserve"> </w:t>
      </w:r>
    </w:p>
    <w:p w14:paraId="25DFA87C">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val="0"/>
          <w:bCs/>
          <w:sz w:val="32"/>
          <w:szCs w:val="32"/>
          <w:highlight w:val="none"/>
        </w:rPr>
        <w:t xml:space="preserve">        承包人（乙方）：</w:t>
      </w:r>
      <w:r>
        <w:rPr>
          <w:rFonts w:hint="eastAsia" w:ascii="仿宋_GB2312" w:hAnsi="仿宋_GB2312" w:eastAsia="仿宋_GB2312" w:cs="仿宋_GB2312"/>
          <w:b w:val="0"/>
          <w:bCs/>
          <w:sz w:val="32"/>
          <w:szCs w:val="32"/>
          <w:highlight w:val="none"/>
          <w:u w:val="single"/>
          <w:lang w:val="en-US" w:eastAsia="zh-CN"/>
        </w:rPr>
        <w:t xml:space="preserve">                       </w:t>
      </w:r>
    </w:p>
    <w:p w14:paraId="6EC3DA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highlight w:val="none"/>
        </w:rPr>
      </w:pPr>
    </w:p>
    <w:p w14:paraId="54DA4C1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bCs/>
          <w:sz w:val="44"/>
          <w:szCs w:val="44"/>
          <w:highlight w:val="none"/>
        </w:rPr>
      </w:pPr>
    </w:p>
    <w:p w14:paraId="25AD8BE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highlight w:val="none"/>
        </w:rPr>
      </w:pPr>
    </w:p>
    <w:p w14:paraId="4682F985">
      <w:pPr>
        <w:spacing w:line="360" w:lineRule="auto"/>
        <w:jc w:val="center"/>
        <w:outlineLvl w:val="0"/>
        <w:rPr>
          <w:rFonts w:hint="eastAsia" w:asciiTheme="majorEastAsia" w:hAnsiTheme="majorEastAsia" w:eastAsiaTheme="majorEastAsia" w:cstheme="majorEastAsia"/>
          <w:b/>
          <w:bCs/>
          <w:sz w:val="44"/>
          <w:szCs w:val="44"/>
          <w:highlight w:val="none"/>
        </w:rPr>
        <w:sectPr>
          <w:footerReference r:id="rId3" w:type="default"/>
          <w:pgSz w:w="11906" w:h="16838"/>
          <w:pgMar w:top="1814" w:right="1474" w:bottom="1814" w:left="1588" w:header="851" w:footer="992" w:gutter="0"/>
          <w:pgNumType w:start="1"/>
          <w:cols w:space="425" w:num="1"/>
          <w:docGrid w:type="lines" w:linePitch="312" w:charSpace="0"/>
        </w:sectPr>
      </w:pPr>
      <w:bookmarkStart w:id="16" w:name="_Toc25189"/>
    </w:p>
    <w:p w14:paraId="14A808B6">
      <w:pPr>
        <w:spacing w:line="360" w:lineRule="auto"/>
        <w:jc w:val="center"/>
        <w:outlineLvl w:val="0"/>
        <w:rPr>
          <w:rFonts w:hint="eastAsia" w:asciiTheme="majorEastAsia" w:hAnsiTheme="majorEastAsia" w:eastAsiaTheme="majorEastAsia" w:cstheme="majorEastAsia"/>
          <w:bCs/>
          <w:sz w:val="44"/>
          <w:szCs w:val="44"/>
          <w:highlight w:val="none"/>
        </w:rPr>
      </w:pPr>
      <w:r>
        <w:rPr>
          <w:rFonts w:hint="eastAsia" w:asciiTheme="majorEastAsia" w:hAnsiTheme="majorEastAsia" w:eastAsiaTheme="majorEastAsia" w:cstheme="majorEastAsia"/>
          <w:b/>
          <w:bCs/>
          <w:sz w:val="44"/>
          <w:szCs w:val="44"/>
          <w:highlight w:val="none"/>
        </w:rPr>
        <w:t>说  明</w:t>
      </w:r>
      <w:bookmarkEnd w:id="16"/>
    </w:p>
    <w:p w14:paraId="0F871F9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本合同(示范文本)根据《中华人民共和国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rPr>
        <w:t>》、《中华人民共和国建筑法》、《中华人民共和国招标投标法》等法律以及深圳市相关的法规,借鉴国际通用的工程施工合同和住房城乡建设部、国家工商行政管理总局制定的</w:t>
      </w:r>
      <w:bookmarkStart w:id="17" w:name="OLE_LINK1"/>
      <w:r>
        <w:rPr>
          <w:rFonts w:hint="eastAsia" w:ascii="仿宋_GB2312" w:hAnsi="仿宋_GB2312" w:eastAsia="仿宋_GB2312" w:cs="仿宋_GB2312"/>
          <w:sz w:val="28"/>
          <w:szCs w:val="28"/>
          <w:highlight w:val="none"/>
        </w:rPr>
        <w:t>《建设工程施工合同（示范文本）》（GF-2017-0201）</w:t>
      </w:r>
      <w:bookmarkEnd w:id="17"/>
      <w:r>
        <w:rPr>
          <w:rFonts w:hint="eastAsia" w:ascii="仿宋_GB2312" w:hAnsi="仿宋_GB2312" w:eastAsia="仿宋_GB2312" w:cs="仿宋_GB2312"/>
          <w:sz w:val="28"/>
          <w:szCs w:val="28"/>
          <w:highlight w:val="none"/>
        </w:rPr>
        <w:t>,结合本区现行施工合同实践情况,特制订本合同（示范文本）。</w:t>
      </w:r>
    </w:p>
    <w:p w14:paraId="69DF29DA">
      <w:pPr>
        <w:pageBreakBefore w:val="0"/>
        <w:kinsoku/>
        <w:overflowPunct/>
        <w:topLinePunct w:val="0"/>
        <w:autoSpaceDE/>
        <w:autoSpaceDN/>
        <w:bidi w:val="0"/>
        <w:adjustRightInd w:val="0"/>
        <w:snapToGrid w:val="0"/>
        <w:spacing w:line="560" w:lineRule="exact"/>
        <w:ind w:left="0" w:leftChars="0" w:right="0" w:rightChars="0" w:firstLine="562" w:firstLineChars="200"/>
        <w:jc w:val="left"/>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一、合同（示范文本）的组成</w:t>
      </w:r>
    </w:p>
    <w:p w14:paraId="1DC44D96">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本合同(示范文本)由“协议书”、“通用条款”、“专用条款”和“补充条款”四部分组成。其中：</w:t>
      </w:r>
    </w:p>
    <w:p w14:paraId="7FEE75F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协议书”作为合同文本的第一部分,是发包人与承包人就合同内容协商达成一致意见后,相互承诺履行合同而签署的协议。《协议书》包括工程概况、工程承包范围、合同工期、质量标准、合同价格等合同主要内容,明确了组成合同的所有文件，并约定了合同生效的方式及合同订立的时间、地点，集中约定了承发包双方基本的合同权利义务。</w:t>
      </w:r>
    </w:p>
    <w:p w14:paraId="051F4D6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通用条款”是根据现行法律、法规、规章等规定，就工程建设的实施及相关事项，对发包人与承包人的权利义务作出的原则性约定。既考虑了现行法律法规对工程建设的有关要求，也考虑了建设工程施工管理的实际需要，具有较强的普遍性和通用性，是通用于建设工程施工的基础性合同条款。</w:t>
      </w:r>
    </w:p>
    <w:p w14:paraId="3E200D52">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专用条款”是指对通用条款原则性约定的细化、完善、补充、修改或另行约定的条款。发包人与承包人可根据法律、法规和规章的规定，结合具体工程实际，经过双方的谈判、协商达成一致意见，对应通用条款的内容，对不明确的条款作出具体约定；对不适用的条款作出修改；对缺少的内容作出补充；使合同更具可操作性，便于理解和履行。</w:t>
      </w:r>
    </w:p>
    <w:p w14:paraId="55F37A3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（四）“补充条款”是对合同中通用条款和专用条款未约定或约定不明确的内容进行补充约定的条款。</w:t>
      </w:r>
    </w:p>
    <w:p w14:paraId="52C05E1E">
      <w:pPr>
        <w:pageBreakBefore w:val="0"/>
        <w:kinsoku/>
        <w:overflowPunct/>
        <w:topLinePunct w:val="0"/>
        <w:autoSpaceDE/>
        <w:autoSpaceDN/>
        <w:bidi w:val="0"/>
        <w:adjustRightInd w:val="0"/>
        <w:snapToGrid w:val="0"/>
        <w:spacing w:line="560" w:lineRule="exact"/>
        <w:ind w:left="0" w:leftChars="0" w:right="0" w:rightChars="0" w:firstLine="562" w:firstLineChars="200"/>
        <w:jc w:val="left"/>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二、专用条款使用注意事项</w:t>
      </w:r>
    </w:p>
    <w:p w14:paraId="6F42355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（一）专用条款的编号应与相应的通用条款的编号一致。</w:t>
      </w:r>
    </w:p>
    <w:p w14:paraId="702CC8B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（二）在专用条款中有横道线的地方，承发包双方可针对相应的通用条款进行细化、完善、补充、修改或另行约定；如无细化、完善、补充、修改或另行约定，则填写“无”或划“/”。</w:t>
      </w:r>
    </w:p>
    <w:p w14:paraId="3B8698E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通用条款”和“专用条款”一并作为完整的合同条款，当两者之间有不符之处，以“专用条款”为准。“通用条款”中出现斜体字加粗“专用条款”字样的条文在相应“专用条款”的条文中有明确的约定。应按照同一编号的条款一起阅读和理解。</w:t>
      </w:r>
    </w:p>
    <w:p w14:paraId="21D0D02B">
      <w:pPr>
        <w:pageBreakBefore w:val="0"/>
        <w:kinsoku/>
        <w:overflowPunct/>
        <w:topLinePunct w:val="0"/>
        <w:autoSpaceDE/>
        <w:autoSpaceDN/>
        <w:bidi w:val="0"/>
        <w:adjustRightInd w:val="0"/>
        <w:snapToGrid w:val="0"/>
        <w:spacing w:line="560" w:lineRule="exact"/>
        <w:ind w:left="0" w:leftChars="0" w:right="0" w:rightChars="0" w:firstLine="562" w:firstLineChars="200"/>
        <w:jc w:val="left"/>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三、合同（示范文本）的适用范围</w:t>
      </w:r>
    </w:p>
    <w:p w14:paraId="4E7B76B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本合同(示范文本)适用于</w:t>
      </w:r>
      <w:r>
        <w:rPr>
          <w:rFonts w:hint="eastAsia" w:ascii="仿宋_GB2312" w:hAnsi="仿宋_GB2312" w:eastAsia="仿宋_GB2312" w:cs="仿宋_GB2312"/>
          <w:sz w:val="28"/>
          <w:szCs w:val="28"/>
          <w:highlight w:val="none"/>
          <w:lang w:val="en-US" w:eastAsia="zh-CN"/>
        </w:rPr>
        <w:t>福田</w:t>
      </w:r>
      <w:r>
        <w:rPr>
          <w:rFonts w:hint="eastAsia" w:ascii="仿宋_GB2312" w:hAnsi="仿宋_GB2312" w:eastAsia="仿宋_GB2312" w:cs="仿宋_GB2312"/>
          <w:sz w:val="28"/>
          <w:szCs w:val="28"/>
          <w:highlight w:val="none"/>
        </w:rPr>
        <w:t>辖区内房屋建筑工程、土木工程、线路管道和设备安装工程、装修工程等建设招标工程</w:t>
      </w:r>
      <w:r>
        <w:rPr>
          <w:rFonts w:hint="eastAsia" w:ascii="仿宋_GB2312" w:hAnsi="仿宋_GB2312" w:eastAsia="仿宋_GB2312" w:cs="仿宋_GB2312"/>
          <w:b/>
          <w:bCs/>
          <w:sz w:val="28"/>
          <w:szCs w:val="28"/>
          <w:highlight w:val="none"/>
        </w:rPr>
        <w:t>固定单价施工合同</w:t>
      </w:r>
      <w:r>
        <w:rPr>
          <w:rFonts w:hint="eastAsia" w:ascii="仿宋_GB2312" w:hAnsi="仿宋_GB2312" w:eastAsia="仿宋_GB2312" w:cs="仿宋_GB2312"/>
          <w:sz w:val="28"/>
          <w:szCs w:val="28"/>
          <w:highlight w:val="none"/>
        </w:rPr>
        <w:t>,发包人与承包人可结合建设工程具体情况，参考本合同(示范文本)订立合同，并按照法律法规规定和合同约定承担相应的法律责任及合同权利义务。</w:t>
      </w:r>
    </w:p>
    <w:p w14:paraId="408F4A1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sectPr>
          <w:footerReference r:id="rId4" w:type="default"/>
          <w:pgSz w:w="11906" w:h="16838"/>
          <w:pgMar w:top="1814" w:right="1474" w:bottom="1814" w:left="1588" w:header="851" w:footer="992" w:gutter="0"/>
          <w:pgNumType w:fmt="decimal" w:start="1"/>
          <w:cols w:space="425" w:num="1"/>
          <w:docGrid w:type="lines" w:linePitch="312" w:charSpace="0"/>
        </w:sectPr>
      </w:pPr>
    </w:p>
    <w:sdt>
      <w:sdtPr>
        <w:rPr>
          <w:rFonts w:ascii="宋体" w:hAnsi="宋体" w:eastAsia="宋体" w:cs="Times New Roman"/>
          <w:b/>
          <w:bCs/>
          <w:kern w:val="2"/>
          <w:sz w:val="22"/>
          <w:szCs w:val="28"/>
          <w:lang w:val="en-US" w:eastAsia="zh-CN" w:bidi="ar-SA"/>
        </w:rPr>
        <w:id w:val="147476586"/>
        <w15:color w:val="DBDBDB"/>
        <w:docPartObj>
          <w:docPartGallery w:val="Table of Contents"/>
          <w:docPartUnique/>
        </w:docPartObj>
      </w:sdtPr>
      <w:sdtEndPr>
        <w:rPr>
          <w:rFonts w:hint="eastAsia" w:ascii="仿宋" w:hAnsi="仿宋" w:eastAsia="仿宋" w:cs="仿宋"/>
          <w:b/>
          <w:bCs/>
          <w:kern w:val="2"/>
          <w:sz w:val="28"/>
          <w:szCs w:val="28"/>
          <w:highlight w:val="none"/>
          <w:lang w:val="en-US" w:eastAsia="zh-CN" w:bidi="ar-SA"/>
        </w:rPr>
      </w:sdtEndPr>
      <w:sdtContent>
        <w:p w14:paraId="57C5E9C7">
          <w:pPr>
            <w:pageBreakBefore w:val="0"/>
            <w:kinsoku/>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目录</w:t>
          </w:r>
        </w:p>
        <w:p w14:paraId="17D4246E">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"1-3"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_Toc25189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说  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_Toc25189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8374A5D">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_Toc29356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_Toc29356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FB17F96">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_Toc4131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_Toc4131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B0D449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_Toc7240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二、工程承包范围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_Toc7240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4C1425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_Toc7149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1.市政公用及配套专业工程、其他工程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_Toc7149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4F4DC5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_Toc31661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2.房屋建筑及配套专业工程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_Toc31661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7B82E1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_Toc8084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3.二次装饰装修工程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_Toc8084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F92459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_Toc3292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4.其他工程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_Toc3292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E62A85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_Toc4793 </w:instrText>
          </w:r>
          <w:r>
            <w:rPr>
              <w:rFonts w:hint="eastAsia" w:ascii="仿宋" w:hAnsi="仿宋" w:eastAsia="仿宋" w:cs="仿宋"/>
              <w:sz w:val="28"/>
              <w:szCs w:val="28"/>
              <w:highlight w:val="none"/>
            </w:rPr>
            <w:fldChar w:fldCharType="separate"/>
          </w:r>
          <w:r>
            <w:rPr>
              <w:rFonts w:hint="eastAsia" w:ascii="仿宋" w:hAnsi="仿宋" w:eastAsia="仿宋" w:cs="仿宋"/>
              <w:kern w:val="44"/>
              <w:sz w:val="28"/>
              <w:szCs w:val="28"/>
              <w:highlight w:val="none"/>
            </w:rPr>
            <w:t>三、合同工期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_Toc4793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74A081C">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_Toc19957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44"/>
              <w:sz w:val="28"/>
              <w:szCs w:val="28"/>
              <w:highlight w:val="none"/>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_Toc19957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039D33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_Toc21499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44"/>
              <w:sz w:val="28"/>
              <w:szCs w:val="28"/>
              <w:highlight w:val="none"/>
            </w:rPr>
            <w:t>五、签约合同价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_Toc21499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0BCAD87">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_Toc40 </w:instrText>
          </w:r>
          <w:r>
            <w:rPr>
              <w:rFonts w:hint="eastAsia" w:ascii="仿宋" w:hAnsi="仿宋" w:eastAsia="仿宋" w:cs="仿宋"/>
              <w:sz w:val="28"/>
              <w:szCs w:val="28"/>
              <w:highlight w:val="none"/>
            </w:rPr>
            <w:fldChar w:fldCharType="separate"/>
          </w:r>
          <w:r>
            <w:rPr>
              <w:rFonts w:hint="eastAsia" w:ascii="仿宋" w:hAnsi="仿宋" w:eastAsia="仿宋" w:cs="仿宋"/>
              <w:kern w:val="44"/>
              <w:sz w:val="28"/>
              <w:szCs w:val="28"/>
              <w:highlight w:val="none"/>
              <w:lang w:val="en-US" w:eastAsia="zh-CN"/>
            </w:rPr>
            <w:t>六、工人工资专用账户信息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CE0C4CF">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_Toc20624 </w:instrText>
          </w:r>
          <w:r>
            <w:rPr>
              <w:rFonts w:hint="eastAsia" w:ascii="仿宋" w:hAnsi="仿宋" w:eastAsia="仿宋" w:cs="仿宋"/>
              <w:sz w:val="28"/>
              <w:szCs w:val="28"/>
              <w:highlight w:val="none"/>
            </w:rPr>
            <w:fldChar w:fldCharType="separate"/>
          </w:r>
          <w:r>
            <w:rPr>
              <w:rFonts w:hint="eastAsia" w:ascii="仿宋" w:hAnsi="仿宋" w:eastAsia="仿宋" w:cs="仿宋"/>
              <w:kern w:val="44"/>
              <w:sz w:val="28"/>
              <w:szCs w:val="28"/>
              <w:highlight w:val="none"/>
              <w:lang w:val="en-US" w:eastAsia="zh-CN"/>
            </w:rPr>
            <w:t>七、</w:t>
          </w:r>
          <w:r>
            <w:rPr>
              <w:rFonts w:hint="eastAsia" w:ascii="仿宋" w:hAnsi="仿宋" w:eastAsia="仿宋" w:cs="仿宋"/>
              <w:kern w:val="44"/>
              <w:sz w:val="28"/>
              <w:szCs w:val="28"/>
              <w:highlight w:val="none"/>
            </w:rPr>
            <w:t>组成合同的文件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_Toc20624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9B3AFDF">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_Toc25994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八</w:t>
          </w:r>
          <w:r>
            <w:rPr>
              <w:rFonts w:hint="eastAsia" w:ascii="仿宋" w:hAnsi="仿宋" w:eastAsia="仿宋" w:cs="仿宋"/>
              <w:bCs/>
              <w:sz w:val="28"/>
              <w:szCs w:val="28"/>
              <w:highlight w:val="none"/>
            </w:rPr>
            <w:t>、词语含义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_Toc25994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4F33433">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_Toc7528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九</w:t>
          </w:r>
          <w:r>
            <w:rPr>
              <w:rFonts w:hint="eastAsia" w:ascii="仿宋" w:hAnsi="仿宋" w:eastAsia="仿宋" w:cs="仿宋"/>
              <w:bCs/>
              <w:sz w:val="28"/>
              <w:szCs w:val="28"/>
              <w:highlight w:val="none"/>
            </w:rPr>
            <w:t>、承诺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_Toc7528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9487DBF">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_Toc12372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十</w:t>
          </w:r>
          <w:r>
            <w:rPr>
              <w:rFonts w:hint="eastAsia" w:ascii="仿宋" w:hAnsi="仿宋" w:eastAsia="仿宋" w:cs="仿宋"/>
              <w:bCs/>
              <w:sz w:val="28"/>
              <w:szCs w:val="28"/>
              <w:highlight w:val="none"/>
            </w:rPr>
            <w:t>、合同订立与生效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E9A7358">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_Toc9197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第二部分  通用条款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_Toc9197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A0C2727">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_Toc28729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_Toc28729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2A3155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_Toc20860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1.1合同主体与参与各方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_Toc20860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67C153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_Toc26860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1.2合同文件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_Toc26860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1CEF7E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_Toc2018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1.3工程、现场与装备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F0ED05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_Toc30304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1.4合同价格与费用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_Toc30304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6D6FF5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_Toc5940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1.5施工工期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_Toc5940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2C5EE3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_Toc17537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1.6其它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E8D861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_Toc20274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1.7标题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_Toc20274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BB6378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_Toc29061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1.8书面形式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_Toc29061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7187DB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_Toc5322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2.一般约定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_Toc5322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FE00C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_Toc22509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2.1合同文件组成及解释顺序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_Toc22509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551BC4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_Toc25757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2.2合同文件内容争议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_Toc25757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1D74A7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_Toc25970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2.3语言文字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_Toc25970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9BD75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_Toc12976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2.4法律、法规和规章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_Toc12976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028D75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_Toc20080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2.5标准、规范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_Toc20080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DC1F1C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_Toc22708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2.6图纸和技术资料的提供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_Toc22708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E19FDF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_Toc10635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2.7图纸和资料提供的延误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_Toc10635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E44A97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_Toc3980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2.8补充图纸和资料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_Toc3980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5468D5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_Toc7589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2.9临时工程图纸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DFBCE9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_Toc5623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2.10竣工图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_Toc5623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38F8BA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_Toc23647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2.11通知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_Toc23647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6A9B25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_Toc30082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2.12严禁贿赂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_Toc30082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813BEC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_Toc13749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2.13交通运输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_Toc13749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F21529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_Toc8250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2.14水土保持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_Toc8250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157D35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_Toc13693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BIM实施应用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_Toc13693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84410A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_Toc13489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 xml:space="preserve">2.16 </w:t>
          </w:r>
          <w:r>
            <w:rPr>
              <w:rFonts w:hint="eastAsia" w:ascii="仿宋" w:hAnsi="仿宋" w:eastAsia="仿宋" w:cs="仿宋"/>
              <w:bCs w:val="0"/>
              <w:kern w:val="2"/>
              <w:sz w:val="28"/>
              <w:szCs w:val="28"/>
              <w:highlight w:val="none"/>
            </w:rPr>
            <w:t>知识产权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_Toc13489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614589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_Toc459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保密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_Toc459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08D892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_Toc25421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化石、文物的保护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_Toc25421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24E738A">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_Toc10633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3.发包人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_Toc10633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86B811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_Toc1792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3.1发包人代表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_Toc1792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28A43D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_Toc19656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3.2发包人的义务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_Toc19656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43128E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_Toc21723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3.3发包人人员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_Toc21723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4D985A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_Toc5263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3.4发包人的工作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_Toc5263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3E0D33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_Toc24858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3.5发包人委托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_Toc24858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3C31D4E">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_Toc24119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4.承包人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_Toc24119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E184F1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_Toc28051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4.1承包人的义务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_Toc28051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C79D36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_Toc24214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4.2承包人的工作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_Toc24214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7E097D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_Toc21687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4.3项目经理的任命和职责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_Toc21687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676624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_Toc25475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4.4项目经理的更换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_Toc25475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9FBCAC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_Toc15750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4.5项目经理的临时授权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_Toc15750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89E862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_Toc20089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4.6施工管理人员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_Toc20089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C7DF94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_Toc26654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4.7联合体承包人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_Toc26654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655091">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_Toc31079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5.监理人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_Toc31079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C17315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_Toc8144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5.1监理人的通知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_Toc8144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0F3919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_Toc32498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5.2监理人的职权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_Toc32498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8071EA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5.3监理人权力的限制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_Toc1767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946360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_Toc27047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5.4总监理工程师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_Toc27047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12FE88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_Toc20859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5.5监理人指令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_Toc20859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787AF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_Toc10744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5.6监理人未尽义务或失误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_Toc10744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8FF3163">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_Toc28678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6.转让、分包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_Toc28678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176ADE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_Toc28926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6.1转让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_Toc28926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921C4B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_Toc28576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6.2分包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_Toc28576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DC7DE8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_Toc15947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6.3分包人的确定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_Toc15947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0E9BA3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6.4分包合同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_Toc17669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FFFEF5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_Toc8535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7.专业工程发包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_Toc8535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49B05C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_Toc8399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7.1专业工程承包人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_Toc8399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21A389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_Toc29517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7.2总承包服务费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261BB1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_Toc7825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7.3工作界面协调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_Toc7825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4984C06">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_Toc13376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8.用工和劳务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_Toc13376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31E88D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_Toc28081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8.1劳动合同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_Toc28081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061C69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_Toc20243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8.2劳务分包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_Toc20243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E27F15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_Toc19000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8.3劳务分包合同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_Toc19000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DC320C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_Toc24987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8.4工人工资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_Toc24987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661C43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_Toc3308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8.5职业健康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_Toc3308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7D0D6F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_Toc21180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lang w:val="en-US" w:eastAsia="zh-CN"/>
            </w:rPr>
            <w:t xml:space="preserve">8.6 </w:t>
          </w:r>
          <w:r>
            <w:rPr>
              <w:rFonts w:hint="eastAsia" w:ascii="仿宋" w:hAnsi="仿宋" w:eastAsia="仿宋" w:cs="仿宋"/>
              <w:kern w:val="2"/>
              <w:sz w:val="28"/>
              <w:szCs w:val="28"/>
              <w:highlight w:val="none"/>
            </w:rPr>
            <w:t>用工培训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_Toc21180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6DB3CA7">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_Toc5489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9.施工组织设计和进度计划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_Toc5489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6F00B6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_Toc3734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9.1施工组织设计和进度计划的编制与提交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_Toc3734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AF7466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_Toc9799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9.2临时设施的图纸和文件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_Toc9799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832612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_Toc16641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9.3工程进度计划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_Toc16641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299CF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_Toc18909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9.4工程用款计划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_Toc18909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9A07AC8">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_Toc26846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10.施工准备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_Toc26846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C14F0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_Toc20751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10.1现场考察与勘察资料分析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_Toc20751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331DF3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_Toc13070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10.2施工场地提供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_Toc13070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2119A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_Toc16076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10.3施工放线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_Toc16076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2D3374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_Toc16912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10.4施工组织准备工作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_Toc16912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A40C45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_Toc20921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10.5施工技术准备工作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_Toc20921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FEE0DA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_Toc28560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10.6不利的外界障碍或条件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_Toc28560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E9FC154">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_Toc9219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11.开工及延期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_Toc9219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947CC6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_Toc16241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11.1开工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_Toc16241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8B9DFE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_Toc23240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11.2开工延期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_Toc23240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B071D48">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_Toc14352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12.暂停施工和恢复施工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_Toc14352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08AC4A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_Toc27069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12.1发包人原因引起的暂停施工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_Toc27069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680428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_Toc12766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12.2承包人原因引起的暂停施工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_Toc12766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E529FF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_Toc21746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12.3指示暂停施工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_Toc21746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67F889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12.4紧急情况下的暂停施工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46FE57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_Toc27119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12.5暂停施工后的复工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_Toc27119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274490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_Toc10758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12.6暂停施工期间的工程照管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_Toc10758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DFC6C2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_Toc29310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13.工期及延误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_Toc29310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9B4941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_Toc17682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13.1工期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_Toc17682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C1AED5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_Toc14032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13.2因发包人原因导致工期延误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_Toc14032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5609B1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_Toc7382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13.3因承包人原因导致工期延误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_Toc7382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BBF127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_Toc4592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13.4</w:t>
          </w:r>
          <w:r>
            <w:rPr>
              <w:rFonts w:hint="eastAsia" w:ascii="仿宋" w:hAnsi="仿宋" w:eastAsia="仿宋" w:cs="仿宋"/>
              <w:bCs w:val="0"/>
              <w:kern w:val="2"/>
              <w:sz w:val="28"/>
              <w:szCs w:val="28"/>
              <w:highlight w:val="none"/>
            </w:rPr>
            <w:t>提前竣工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_Toc4592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4C100C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_Toc29264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13.5</w:t>
          </w:r>
          <w:r>
            <w:rPr>
              <w:rFonts w:hint="eastAsia" w:ascii="仿宋" w:hAnsi="仿宋" w:eastAsia="仿宋" w:cs="仿宋"/>
              <w:sz w:val="28"/>
              <w:szCs w:val="28"/>
              <w:highlight w:val="none"/>
            </w:rPr>
            <w:t>工作时间的限制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_Toc29264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F4AB25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_Toc12953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14.材料设备的供应和检验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_Toc12953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A68E2D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_Toc11317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14.1发包人供应材料设备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_Toc11317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BF0FB7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_Toc13288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14.2发包人供应材料设备的结算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_Toc13288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DDDE96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_Toc4969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14.3发包人供应材料设备承担的责任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_Toc4969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75E7E8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_Toc21641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14.4承包人采购材料设备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_Toc21641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9BB053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_Toc26610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14.5承包人采购材料设备承担的责任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_Toc26610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9EA0D4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_Toc2120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14.6材料和工程设备的替代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_Toc2120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E2E034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_Toc15049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14.7材料设备的检验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_Toc15049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04995B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_Toc16173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14.8材料设备的再次检验和随时检查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_Toc16173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2B39DA7">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_Toc6906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15.工程质量和检测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_Toc6906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2A7F13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_Toc22165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15.1工程质量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_Toc22165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203D3C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_Toc22765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15.2发包人质量控制责任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_Toc22765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11F9D3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_Toc3038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15.3承包人质量控制责任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_Toc3038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EBB490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_Toc30927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15.4监理人质量控制责任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_Toc30927 \h </w:instrText>
          </w:r>
          <w:r>
            <w:rPr>
              <w:rFonts w:hint="eastAsia" w:ascii="仿宋" w:hAnsi="仿宋" w:eastAsia="仿宋" w:cs="仿宋"/>
              <w:sz w:val="28"/>
              <w:szCs w:val="28"/>
            </w:rPr>
            <w:fldChar w:fldCharType="separate"/>
          </w:r>
          <w:r>
            <w:rPr>
              <w:rFonts w:hint="eastAsia" w:ascii="仿宋" w:hAnsi="仿宋" w:eastAsia="仿宋" w:cs="仿宋"/>
              <w:sz w:val="28"/>
              <w:szCs w:val="28"/>
            </w:rPr>
            <w:t>59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8B2965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_Toc17824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15.5工程隐蔽前的检测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_Toc17824 \h </w:instrText>
          </w:r>
          <w:r>
            <w:rPr>
              <w:rFonts w:hint="eastAsia" w:ascii="仿宋" w:hAnsi="仿宋" w:eastAsia="仿宋" w:cs="仿宋"/>
              <w:sz w:val="28"/>
              <w:szCs w:val="28"/>
            </w:rPr>
            <w:fldChar w:fldCharType="separate"/>
          </w:r>
          <w:r>
            <w:rPr>
              <w:rFonts w:hint="eastAsia" w:ascii="仿宋" w:hAnsi="仿宋" w:eastAsia="仿宋" w:cs="仿宋"/>
              <w:sz w:val="28"/>
              <w:szCs w:val="28"/>
            </w:rPr>
            <w:t>59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F89814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_Toc30069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15.6防水检测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_Toc30069 \h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03FE37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_Toc28555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15.7工程质量检测费用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_Toc28555 \h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40862A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_Toc16181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15.8质量争议检测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_Toc16181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9A37A13">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_Toc18021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16.工程试运行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_Toc18021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97824C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_Toc32379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16.1工程试运行内容和程序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_Toc32379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7FCB98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_Toc7353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16.2工程试运行中双方的责任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_Toc7353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CB0F621">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_Toc8239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17.安全文明施工与环境保护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_Toc8239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55EB0F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_Toc9779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17.1发包人的安全文明施工责任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_Toc9779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2673D1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_Toc8740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17.2承包人的安全文明施工责任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_Toc8740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4F3915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17.3监理人对安全文明的监督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 \h </w:instrText>
          </w:r>
          <w:r>
            <w:rPr>
              <w:rFonts w:hint="eastAsia" w:ascii="仿宋" w:hAnsi="仿宋" w:eastAsia="仿宋" w:cs="仿宋"/>
              <w:sz w:val="28"/>
              <w:szCs w:val="28"/>
            </w:rPr>
            <w:fldChar w:fldCharType="separate"/>
          </w:r>
          <w:r>
            <w:rPr>
              <w:rFonts w:hint="eastAsia" w:ascii="仿宋" w:hAnsi="仿宋" w:eastAsia="仿宋" w:cs="仿宋"/>
              <w:sz w:val="28"/>
              <w:szCs w:val="28"/>
            </w:rPr>
            <w:t>64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E22225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_Toc2089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17.4安全文明措施费的专款专用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_Toc2089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DC8317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_Toc3085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17.5承包人的安全防护和现场作业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_Toc3085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A0783E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_Toc26228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17.6紧急情况处理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_Toc26228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0FB9DC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_Toc27255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17.7事故处理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_Toc27255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3F3834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_Toc5239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17.8承包人的环境保护责任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_Toc5239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1EE0D9B">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_Toc25937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18.余泥渣土运输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_Toc25937 \h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343572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_Toc29543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18.1余泥渣土运输车辆证件要求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_Toc29543 \h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7403F2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_Toc16298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18.2承包人自行运输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_Toc16298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8D32EB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_Toc19966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18.3余泥渣土运输分包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_Toc19966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F428B1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_Toc1431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18.4余泥渣土运输车辆保险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_Toc1431 \h </w:instrText>
          </w:r>
          <w:r>
            <w:rPr>
              <w:rFonts w:hint="eastAsia" w:ascii="仿宋" w:hAnsi="仿宋" w:eastAsia="仿宋" w:cs="仿宋"/>
              <w:sz w:val="28"/>
              <w:szCs w:val="28"/>
            </w:rPr>
            <w:fldChar w:fldCharType="separate"/>
          </w:r>
          <w:r>
            <w:rPr>
              <w:rFonts w:hint="eastAsia" w:ascii="仿宋" w:hAnsi="仿宋" w:eastAsia="仿宋" w:cs="仿宋"/>
              <w:sz w:val="28"/>
              <w:szCs w:val="28"/>
            </w:rPr>
            <w:t>69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E389C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_Toc17213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18.5余泥渣土运输车辆和驾驶员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_Toc17213 \h </w:instrText>
          </w:r>
          <w:r>
            <w:rPr>
              <w:rFonts w:hint="eastAsia" w:ascii="仿宋" w:hAnsi="仿宋" w:eastAsia="仿宋" w:cs="仿宋"/>
              <w:sz w:val="28"/>
              <w:szCs w:val="28"/>
            </w:rPr>
            <w:fldChar w:fldCharType="separate"/>
          </w:r>
          <w:r>
            <w:rPr>
              <w:rFonts w:hint="eastAsia" w:ascii="仿宋" w:hAnsi="仿宋" w:eastAsia="仿宋" w:cs="仿宋"/>
              <w:sz w:val="28"/>
              <w:szCs w:val="28"/>
            </w:rPr>
            <w:t>69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CB6F32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_Toc30827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18.6专职检查人员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_Toc30827 \h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7E29BE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_Toc31793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18.7余泥渣土安全文明运输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_Toc31793 \h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6AB7DB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_Toc32220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18.8检查纠正责任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_Toc32220 \h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C9732B1">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_Toc11541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19.工程的保护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_Toc11541 \h </w:instrText>
          </w:r>
          <w:r>
            <w:rPr>
              <w:rFonts w:hint="eastAsia" w:ascii="仿宋" w:hAnsi="仿宋" w:eastAsia="仿宋" w:cs="仿宋"/>
              <w:sz w:val="28"/>
              <w:szCs w:val="28"/>
            </w:rPr>
            <w:fldChar w:fldCharType="separate"/>
          </w:r>
          <w:r>
            <w:rPr>
              <w:rFonts w:hint="eastAsia" w:ascii="仿宋" w:hAnsi="仿宋" w:eastAsia="仿宋" w:cs="仿宋"/>
              <w:sz w:val="28"/>
              <w:szCs w:val="28"/>
            </w:rPr>
            <w:t>71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037986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_Toc12591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19.1工程的保护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_Toc12591 \h </w:instrText>
          </w:r>
          <w:r>
            <w:rPr>
              <w:rFonts w:hint="eastAsia" w:ascii="仿宋" w:hAnsi="仿宋" w:eastAsia="仿宋" w:cs="仿宋"/>
              <w:sz w:val="28"/>
              <w:szCs w:val="28"/>
            </w:rPr>
            <w:fldChar w:fldCharType="separate"/>
          </w:r>
          <w:r>
            <w:rPr>
              <w:rFonts w:hint="eastAsia" w:ascii="仿宋" w:hAnsi="仿宋" w:eastAsia="仿宋" w:cs="仿宋"/>
              <w:sz w:val="28"/>
              <w:szCs w:val="28"/>
            </w:rPr>
            <w:t>71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C52007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_Toc9280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19.2成品、半成品保护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_Toc9280 \h </w:instrText>
          </w:r>
          <w:r>
            <w:rPr>
              <w:rFonts w:hint="eastAsia" w:ascii="仿宋" w:hAnsi="仿宋" w:eastAsia="仿宋" w:cs="仿宋"/>
              <w:sz w:val="28"/>
              <w:szCs w:val="28"/>
            </w:rPr>
            <w:fldChar w:fldCharType="separate"/>
          </w:r>
          <w:r>
            <w:rPr>
              <w:rFonts w:hint="eastAsia" w:ascii="仿宋" w:hAnsi="仿宋" w:eastAsia="仿宋" w:cs="仿宋"/>
              <w:sz w:val="28"/>
              <w:szCs w:val="28"/>
            </w:rPr>
            <w:t>71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7D0964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_Toc28384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19.3工程的修复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_Toc28384 \h </w:instrText>
          </w:r>
          <w:r>
            <w:rPr>
              <w:rFonts w:hint="eastAsia" w:ascii="仿宋" w:hAnsi="仿宋" w:eastAsia="仿宋" w:cs="仿宋"/>
              <w:sz w:val="28"/>
              <w:szCs w:val="28"/>
            </w:rPr>
            <w:fldChar w:fldCharType="separate"/>
          </w:r>
          <w:r>
            <w:rPr>
              <w:rFonts w:hint="eastAsia" w:ascii="仿宋" w:hAnsi="仿宋" w:eastAsia="仿宋" w:cs="仿宋"/>
              <w:sz w:val="28"/>
              <w:szCs w:val="28"/>
            </w:rPr>
            <w:t>71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BFAC41D">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_Toc32189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20.合同价格的确定和调整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_Toc32189 \h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1262E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20.1签约合同价的确定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_Toc13915 \h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D1D6E5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_Toc2187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20.2合同价格的调整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_Toc2187 \h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885E72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_Toc23244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20.3法律法规的改变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_Toc23244 \h </w:instrText>
          </w:r>
          <w:r>
            <w:rPr>
              <w:rFonts w:hint="eastAsia" w:ascii="仿宋" w:hAnsi="仿宋" w:eastAsia="仿宋" w:cs="仿宋"/>
              <w:sz w:val="28"/>
              <w:szCs w:val="28"/>
            </w:rPr>
            <w:fldChar w:fldCharType="separate"/>
          </w:r>
          <w:r>
            <w:rPr>
              <w:rFonts w:hint="eastAsia" w:ascii="仿宋" w:hAnsi="仿宋" w:eastAsia="仿宋" w:cs="仿宋"/>
              <w:sz w:val="28"/>
              <w:szCs w:val="28"/>
            </w:rPr>
            <w:t>73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BBF81A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_Toc4809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20.4工料机调差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_Toc4809 \h </w:instrText>
          </w:r>
          <w:r>
            <w:rPr>
              <w:rFonts w:hint="eastAsia" w:ascii="仿宋" w:hAnsi="仿宋" w:eastAsia="仿宋" w:cs="仿宋"/>
              <w:sz w:val="28"/>
              <w:szCs w:val="28"/>
            </w:rPr>
            <w:fldChar w:fldCharType="separate"/>
          </w:r>
          <w:r>
            <w:rPr>
              <w:rFonts w:hint="eastAsia" w:ascii="仿宋" w:hAnsi="仿宋" w:eastAsia="仿宋" w:cs="仿宋"/>
              <w:sz w:val="28"/>
              <w:szCs w:val="28"/>
            </w:rPr>
            <w:t>73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5AAD3D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_Toc775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20.5材料调差方法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_Toc775 \h </w:instrText>
          </w:r>
          <w:r>
            <w:rPr>
              <w:rFonts w:hint="eastAsia" w:ascii="仿宋" w:hAnsi="仿宋" w:eastAsia="仿宋" w:cs="仿宋"/>
              <w:sz w:val="28"/>
              <w:szCs w:val="28"/>
            </w:rPr>
            <w:fldChar w:fldCharType="separate"/>
          </w:r>
          <w:r>
            <w:rPr>
              <w:rFonts w:hint="eastAsia" w:ascii="仿宋" w:hAnsi="仿宋" w:eastAsia="仿宋" w:cs="仿宋"/>
              <w:sz w:val="28"/>
              <w:szCs w:val="28"/>
            </w:rPr>
            <w:t>74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DBD77E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_Toc15453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20.6人工、机械使用调差方法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_Toc15453 \h </w:instrText>
          </w:r>
          <w:r>
            <w:rPr>
              <w:rFonts w:hint="eastAsia" w:ascii="仿宋" w:hAnsi="仿宋" w:eastAsia="仿宋" w:cs="仿宋"/>
              <w:sz w:val="28"/>
              <w:szCs w:val="28"/>
            </w:rPr>
            <w:fldChar w:fldCharType="separate"/>
          </w:r>
          <w:r>
            <w:rPr>
              <w:rFonts w:hint="eastAsia" w:ascii="仿宋" w:hAnsi="仿宋" w:eastAsia="仿宋" w:cs="仿宋"/>
              <w:sz w:val="28"/>
              <w:szCs w:val="28"/>
            </w:rPr>
            <w:t>76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E3282F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_Toc14872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20.7合同价格调整程序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_Toc14872 \h </w:instrText>
          </w:r>
          <w:r>
            <w:rPr>
              <w:rFonts w:hint="eastAsia" w:ascii="仿宋" w:hAnsi="仿宋" w:eastAsia="仿宋" w:cs="仿宋"/>
              <w:sz w:val="28"/>
              <w:szCs w:val="28"/>
            </w:rPr>
            <w:fldChar w:fldCharType="separate"/>
          </w:r>
          <w:r>
            <w:rPr>
              <w:rFonts w:hint="eastAsia" w:ascii="仿宋" w:hAnsi="仿宋" w:eastAsia="仿宋" w:cs="仿宋"/>
              <w:sz w:val="28"/>
              <w:szCs w:val="28"/>
            </w:rPr>
            <w:t>76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EAAAFF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_Toc11234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20.8中标净下浮率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_Toc11234 \h </w:instrText>
          </w:r>
          <w:r>
            <w:rPr>
              <w:rFonts w:hint="eastAsia" w:ascii="仿宋" w:hAnsi="仿宋" w:eastAsia="仿宋" w:cs="仿宋"/>
              <w:sz w:val="28"/>
              <w:szCs w:val="28"/>
            </w:rPr>
            <w:fldChar w:fldCharType="separate"/>
          </w:r>
          <w:r>
            <w:rPr>
              <w:rFonts w:hint="eastAsia" w:ascii="仿宋" w:hAnsi="仿宋" w:eastAsia="仿宋" w:cs="仿宋"/>
              <w:sz w:val="28"/>
              <w:szCs w:val="28"/>
            </w:rPr>
            <w:t>77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793E1E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_Toc7426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20.9询价采购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_Toc7426 \h </w:instrText>
          </w:r>
          <w:r>
            <w:rPr>
              <w:rFonts w:hint="eastAsia" w:ascii="仿宋" w:hAnsi="仿宋" w:eastAsia="仿宋" w:cs="仿宋"/>
              <w:sz w:val="28"/>
              <w:szCs w:val="28"/>
            </w:rPr>
            <w:fldChar w:fldCharType="separate"/>
          </w:r>
          <w:r>
            <w:rPr>
              <w:rFonts w:hint="eastAsia" w:ascii="仿宋" w:hAnsi="仿宋" w:eastAsia="仿宋" w:cs="仿宋"/>
              <w:sz w:val="28"/>
              <w:szCs w:val="28"/>
            </w:rPr>
            <w:t>78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850042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_Toc8151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21.暂估价和暂列金额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_Toc8151 \h </w:instrText>
          </w:r>
          <w:r>
            <w:rPr>
              <w:rFonts w:hint="eastAsia" w:ascii="仿宋" w:hAnsi="仿宋" w:eastAsia="仿宋" w:cs="仿宋"/>
              <w:sz w:val="28"/>
              <w:szCs w:val="28"/>
            </w:rPr>
            <w:fldChar w:fldCharType="separate"/>
          </w:r>
          <w:r>
            <w:rPr>
              <w:rFonts w:hint="eastAsia" w:ascii="仿宋" w:hAnsi="仿宋" w:eastAsia="仿宋" w:cs="仿宋"/>
              <w:sz w:val="28"/>
              <w:szCs w:val="28"/>
            </w:rPr>
            <w:t>79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89494D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_Toc22444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21.1材料设备暂估价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_Toc22444 \h </w:instrText>
          </w:r>
          <w:r>
            <w:rPr>
              <w:rFonts w:hint="eastAsia" w:ascii="仿宋" w:hAnsi="仿宋" w:eastAsia="仿宋" w:cs="仿宋"/>
              <w:sz w:val="28"/>
              <w:szCs w:val="28"/>
            </w:rPr>
            <w:fldChar w:fldCharType="separate"/>
          </w:r>
          <w:r>
            <w:rPr>
              <w:rFonts w:hint="eastAsia" w:ascii="仿宋" w:hAnsi="仿宋" w:eastAsia="仿宋" w:cs="仿宋"/>
              <w:sz w:val="28"/>
              <w:szCs w:val="28"/>
            </w:rPr>
            <w:t>79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A5381D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_Toc26209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21.2专业工程暂估价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_Toc26209 \h </w:instrText>
          </w:r>
          <w:r>
            <w:rPr>
              <w:rFonts w:hint="eastAsia" w:ascii="仿宋" w:hAnsi="仿宋" w:eastAsia="仿宋" w:cs="仿宋"/>
              <w:sz w:val="28"/>
              <w:szCs w:val="28"/>
            </w:rPr>
            <w:fldChar w:fldCharType="separate"/>
          </w:r>
          <w:r>
            <w:rPr>
              <w:rFonts w:hint="eastAsia" w:ascii="仿宋" w:hAnsi="仿宋" w:eastAsia="仿宋" w:cs="仿宋"/>
              <w:sz w:val="28"/>
              <w:szCs w:val="28"/>
            </w:rPr>
            <w:t>80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7E48B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_Toc29206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21.3暂列金额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_Toc29206 \h </w:instrText>
          </w:r>
          <w:r>
            <w:rPr>
              <w:rFonts w:hint="eastAsia" w:ascii="仿宋" w:hAnsi="仿宋" w:eastAsia="仿宋" w:cs="仿宋"/>
              <w:sz w:val="28"/>
              <w:szCs w:val="28"/>
            </w:rPr>
            <w:fldChar w:fldCharType="separate"/>
          </w:r>
          <w:r>
            <w:rPr>
              <w:rFonts w:hint="eastAsia" w:ascii="仿宋" w:hAnsi="仿宋" w:eastAsia="仿宋" w:cs="仿宋"/>
              <w:sz w:val="28"/>
              <w:szCs w:val="28"/>
            </w:rPr>
            <w:t>80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764C8AF">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_Toc22570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22.工程量计量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_Toc22570 \h </w:instrText>
          </w:r>
          <w:r>
            <w:rPr>
              <w:rFonts w:hint="eastAsia" w:ascii="仿宋" w:hAnsi="仿宋" w:eastAsia="仿宋" w:cs="仿宋"/>
              <w:sz w:val="28"/>
              <w:szCs w:val="28"/>
            </w:rPr>
            <w:fldChar w:fldCharType="separate"/>
          </w:r>
          <w:r>
            <w:rPr>
              <w:rFonts w:hint="eastAsia" w:ascii="仿宋" w:hAnsi="仿宋" w:eastAsia="仿宋" w:cs="仿宋"/>
              <w:sz w:val="28"/>
              <w:szCs w:val="28"/>
            </w:rPr>
            <w:t>81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3F210D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_Toc14405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22.1工程量清单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_Toc14405 \h </w:instrText>
          </w:r>
          <w:r>
            <w:rPr>
              <w:rFonts w:hint="eastAsia" w:ascii="仿宋" w:hAnsi="仿宋" w:eastAsia="仿宋" w:cs="仿宋"/>
              <w:sz w:val="28"/>
              <w:szCs w:val="28"/>
            </w:rPr>
            <w:fldChar w:fldCharType="separate"/>
          </w:r>
          <w:r>
            <w:rPr>
              <w:rFonts w:hint="eastAsia" w:ascii="仿宋" w:hAnsi="仿宋" w:eastAsia="仿宋" w:cs="仿宋"/>
              <w:sz w:val="28"/>
              <w:szCs w:val="28"/>
            </w:rPr>
            <w:t>81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A9A222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_Toc5917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22.2工程量清单缺项和项目特征不符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_Toc5917 \h </w:instrText>
          </w:r>
          <w:r>
            <w:rPr>
              <w:rFonts w:hint="eastAsia" w:ascii="仿宋" w:hAnsi="仿宋" w:eastAsia="仿宋" w:cs="仿宋"/>
              <w:sz w:val="28"/>
              <w:szCs w:val="28"/>
            </w:rPr>
            <w:fldChar w:fldCharType="separate"/>
          </w:r>
          <w:r>
            <w:rPr>
              <w:rFonts w:hint="eastAsia" w:ascii="仿宋" w:hAnsi="仿宋" w:eastAsia="仿宋" w:cs="仿宋"/>
              <w:sz w:val="28"/>
              <w:szCs w:val="28"/>
            </w:rPr>
            <w:t>81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D3F8F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_Toc6797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22.3工程量计算规则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_Toc6797 \h </w:instrText>
          </w:r>
          <w:r>
            <w:rPr>
              <w:rFonts w:hint="eastAsia" w:ascii="仿宋" w:hAnsi="仿宋" w:eastAsia="仿宋" w:cs="仿宋"/>
              <w:sz w:val="28"/>
              <w:szCs w:val="28"/>
            </w:rPr>
            <w:fldChar w:fldCharType="separate"/>
          </w:r>
          <w:r>
            <w:rPr>
              <w:rFonts w:hint="eastAsia" w:ascii="仿宋" w:hAnsi="仿宋" w:eastAsia="仿宋" w:cs="仿宋"/>
              <w:sz w:val="28"/>
              <w:szCs w:val="28"/>
            </w:rPr>
            <w:t>81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469EFF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_Toc6154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22.4工程量计量的程序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_Toc6154 \h </w:instrText>
          </w:r>
          <w:r>
            <w:rPr>
              <w:rFonts w:hint="eastAsia" w:ascii="仿宋" w:hAnsi="仿宋" w:eastAsia="仿宋" w:cs="仿宋"/>
              <w:sz w:val="28"/>
              <w:szCs w:val="28"/>
            </w:rPr>
            <w:fldChar w:fldCharType="separate"/>
          </w:r>
          <w:r>
            <w:rPr>
              <w:rFonts w:hint="eastAsia" w:ascii="仿宋" w:hAnsi="仿宋" w:eastAsia="仿宋" w:cs="仿宋"/>
              <w:sz w:val="28"/>
              <w:szCs w:val="28"/>
            </w:rPr>
            <w:t>82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FF5FB6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_Toc4379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22.5工程量计量的结果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_Toc4379 \h </w:instrText>
          </w:r>
          <w:r>
            <w:rPr>
              <w:rFonts w:hint="eastAsia" w:ascii="仿宋" w:hAnsi="仿宋" w:eastAsia="仿宋" w:cs="仿宋"/>
              <w:sz w:val="28"/>
              <w:szCs w:val="28"/>
            </w:rPr>
            <w:fldChar w:fldCharType="separate"/>
          </w:r>
          <w:r>
            <w:rPr>
              <w:rFonts w:hint="eastAsia" w:ascii="仿宋" w:hAnsi="仿宋" w:eastAsia="仿宋" w:cs="仿宋"/>
              <w:sz w:val="28"/>
              <w:szCs w:val="28"/>
            </w:rPr>
            <w:t>82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C80DCEB">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_Toc30336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23.工程款支付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_Toc30336 \h </w:instrText>
          </w:r>
          <w:r>
            <w:rPr>
              <w:rFonts w:hint="eastAsia" w:ascii="仿宋" w:hAnsi="仿宋" w:eastAsia="仿宋" w:cs="仿宋"/>
              <w:sz w:val="28"/>
              <w:szCs w:val="28"/>
            </w:rPr>
            <w:fldChar w:fldCharType="separate"/>
          </w:r>
          <w:r>
            <w:rPr>
              <w:rFonts w:hint="eastAsia" w:ascii="仿宋" w:hAnsi="仿宋" w:eastAsia="仿宋" w:cs="仿宋"/>
              <w:sz w:val="28"/>
              <w:szCs w:val="28"/>
            </w:rPr>
            <w:t>83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BD99F4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_Toc9459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23.1工程预付款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_Toc9459 \h </w:instrText>
          </w:r>
          <w:r>
            <w:rPr>
              <w:rFonts w:hint="eastAsia" w:ascii="仿宋" w:hAnsi="仿宋" w:eastAsia="仿宋" w:cs="仿宋"/>
              <w:sz w:val="28"/>
              <w:szCs w:val="28"/>
            </w:rPr>
            <w:fldChar w:fldCharType="separate"/>
          </w:r>
          <w:r>
            <w:rPr>
              <w:rFonts w:hint="eastAsia" w:ascii="仿宋" w:hAnsi="仿宋" w:eastAsia="仿宋" w:cs="仿宋"/>
              <w:sz w:val="28"/>
              <w:szCs w:val="28"/>
            </w:rPr>
            <w:t>83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5F28F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_Toc19551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23.2期中结算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_Toc19551 \h </w:instrText>
          </w:r>
          <w:r>
            <w:rPr>
              <w:rFonts w:hint="eastAsia" w:ascii="仿宋" w:hAnsi="仿宋" w:eastAsia="仿宋" w:cs="仿宋"/>
              <w:sz w:val="28"/>
              <w:szCs w:val="28"/>
            </w:rPr>
            <w:fldChar w:fldCharType="separate"/>
          </w:r>
          <w:r>
            <w:rPr>
              <w:rFonts w:hint="eastAsia" w:ascii="仿宋" w:hAnsi="仿宋" w:eastAsia="仿宋" w:cs="仿宋"/>
              <w:sz w:val="28"/>
              <w:szCs w:val="28"/>
            </w:rPr>
            <w:t>84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70861F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_Toc4545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23.3期中结算书的提交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_Toc4545 \h </w:instrText>
          </w:r>
          <w:r>
            <w:rPr>
              <w:rFonts w:hint="eastAsia" w:ascii="仿宋" w:hAnsi="仿宋" w:eastAsia="仿宋" w:cs="仿宋"/>
              <w:sz w:val="28"/>
              <w:szCs w:val="28"/>
            </w:rPr>
            <w:fldChar w:fldCharType="separate"/>
          </w:r>
          <w:r>
            <w:rPr>
              <w:rFonts w:hint="eastAsia" w:ascii="仿宋" w:hAnsi="仿宋" w:eastAsia="仿宋" w:cs="仿宋"/>
              <w:sz w:val="28"/>
              <w:szCs w:val="28"/>
            </w:rPr>
            <w:t>84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AF751A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_Toc21217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23.4期中支付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_Toc21217 \h </w:instrText>
          </w:r>
          <w:r>
            <w:rPr>
              <w:rFonts w:hint="eastAsia" w:ascii="仿宋" w:hAnsi="仿宋" w:eastAsia="仿宋" w:cs="仿宋"/>
              <w:sz w:val="28"/>
              <w:szCs w:val="28"/>
            </w:rPr>
            <w:fldChar w:fldCharType="separate"/>
          </w:r>
          <w:r>
            <w:rPr>
              <w:rFonts w:hint="eastAsia" w:ascii="仿宋" w:hAnsi="仿宋" w:eastAsia="仿宋" w:cs="仿宋"/>
              <w:sz w:val="28"/>
              <w:szCs w:val="28"/>
            </w:rPr>
            <w:t>85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D6F009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_Toc20254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23.5</w:t>
          </w:r>
          <w:r>
            <w:rPr>
              <w:rFonts w:hint="eastAsia" w:ascii="仿宋" w:hAnsi="仿宋" w:eastAsia="仿宋" w:cs="仿宋"/>
              <w:sz w:val="28"/>
              <w:szCs w:val="28"/>
              <w:highlight w:val="none"/>
              <w:lang w:eastAsia="zh-CN"/>
            </w:rPr>
            <w:t>工人工资</w:t>
          </w:r>
          <w:r>
            <w:rPr>
              <w:rFonts w:hint="eastAsia" w:ascii="仿宋" w:hAnsi="仿宋" w:eastAsia="仿宋" w:cs="仿宋"/>
              <w:sz w:val="28"/>
              <w:szCs w:val="28"/>
              <w:highlight w:val="none"/>
            </w:rPr>
            <w:t>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_Toc20254 \h </w:instrText>
          </w:r>
          <w:r>
            <w:rPr>
              <w:rFonts w:hint="eastAsia" w:ascii="仿宋" w:hAnsi="仿宋" w:eastAsia="仿宋" w:cs="仿宋"/>
              <w:sz w:val="28"/>
              <w:szCs w:val="28"/>
            </w:rPr>
            <w:fldChar w:fldCharType="separate"/>
          </w:r>
          <w:r>
            <w:rPr>
              <w:rFonts w:hint="eastAsia" w:ascii="仿宋" w:hAnsi="仿宋" w:eastAsia="仿宋" w:cs="仿宋"/>
              <w:sz w:val="28"/>
              <w:szCs w:val="28"/>
            </w:rPr>
            <w:t>86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511793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23.6工程款专款专用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 \h </w:instrText>
          </w:r>
          <w:r>
            <w:rPr>
              <w:rFonts w:hint="eastAsia" w:ascii="仿宋" w:hAnsi="仿宋" w:eastAsia="仿宋" w:cs="仿宋"/>
              <w:sz w:val="28"/>
              <w:szCs w:val="28"/>
            </w:rPr>
            <w:fldChar w:fldCharType="separate"/>
          </w:r>
          <w:r>
            <w:rPr>
              <w:rFonts w:hint="eastAsia" w:ascii="仿宋" w:hAnsi="仿宋" w:eastAsia="仿宋" w:cs="仿宋"/>
              <w:sz w:val="28"/>
              <w:szCs w:val="28"/>
            </w:rPr>
            <w:t>87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F20B539">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_Toc1356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24.工程变更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_Toc1356 \h </w:instrText>
          </w:r>
          <w:r>
            <w:rPr>
              <w:rFonts w:hint="eastAsia" w:ascii="仿宋" w:hAnsi="仿宋" w:eastAsia="仿宋" w:cs="仿宋"/>
              <w:sz w:val="28"/>
              <w:szCs w:val="28"/>
            </w:rPr>
            <w:fldChar w:fldCharType="separate"/>
          </w:r>
          <w:r>
            <w:rPr>
              <w:rFonts w:hint="eastAsia" w:ascii="仿宋" w:hAnsi="仿宋" w:eastAsia="仿宋" w:cs="仿宋"/>
              <w:sz w:val="28"/>
              <w:szCs w:val="28"/>
            </w:rPr>
            <w:t>87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50D899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_Toc15629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24.1工程变更的范围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_Toc15629 \h </w:instrText>
          </w:r>
          <w:r>
            <w:rPr>
              <w:rFonts w:hint="eastAsia" w:ascii="仿宋" w:hAnsi="仿宋" w:eastAsia="仿宋" w:cs="仿宋"/>
              <w:sz w:val="28"/>
              <w:szCs w:val="28"/>
            </w:rPr>
            <w:fldChar w:fldCharType="separate"/>
          </w:r>
          <w:r>
            <w:rPr>
              <w:rFonts w:hint="eastAsia" w:ascii="仿宋" w:hAnsi="仿宋" w:eastAsia="仿宋" w:cs="仿宋"/>
              <w:sz w:val="28"/>
              <w:szCs w:val="28"/>
            </w:rPr>
            <w:t>87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76B059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_Toc20588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24.2变更权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_Toc20588 \h </w:instrText>
          </w:r>
          <w:r>
            <w:rPr>
              <w:rFonts w:hint="eastAsia" w:ascii="仿宋" w:hAnsi="仿宋" w:eastAsia="仿宋" w:cs="仿宋"/>
              <w:sz w:val="28"/>
              <w:szCs w:val="28"/>
            </w:rPr>
            <w:fldChar w:fldCharType="separate"/>
          </w:r>
          <w:r>
            <w:rPr>
              <w:rFonts w:hint="eastAsia" w:ascii="仿宋" w:hAnsi="仿宋" w:eastAsia="仿宋" w:cs="仿宋"/>
              <w:sz w:val="28"/>
              <w:szCs w:val="28"/>
            </w:rPr>
            <w:t>87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4E04DD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_Toc4886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24.3工程变更程序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_Toc4886 \h </w:instrText>
          </w:r>
          <w:r>
            <w:rPr>
              <w:rFonts w:hint="eastAsia" w:ascii="仿宋" w:hAnsi="仿宋" w:eastAsia="仿宋" w:cs="仿宋"/>
              <w:sz w:val="28"/>
              <w:szCs w:val="28"/>
            </w:rPr>
            <w:fldChar w:fldCharType="separate"/>
          </w:r>
          <w:r>
            <w:rPr>
              <w:rFonts w:hint="eastAsia" w:ascii="仿宋" w:hAnsi="仿宋" w:eastAsia="仿宋" w:cs="仿宋"/>
              <w:sz w:val="28"/>
              <w:szCs w:val="28"/>
            </w:rPr>
            <w:t>88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341373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_Toc3767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24.4其他变更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_Toc3767 \h </w:instrText>
          </w:r>
          <w:r>
            <w:rPr>
              <w:rFonts w:hint="eastAsia" w:ascii="仿宋" w:hAnsi="仿宋" w:eastAsia="仿宋" w:cs="仿宋"/>
              <w:sz w:val="28"/>
              <w:szCs w:val="28"/>
            </w:rPr>
            <w:fldChar w:fldCharType="separate"/>
          </w:r>
          <w:r>
            <w:rPr>
              <w:rFonts w:hint="eastAsia" w:ascii="仿宋" w:hAnsi="仿宋" w:eastAsia="仿宋" w:cs="仿宋"/>
              <w:sz w:val="28"/>
              <w:szCs w:val="28"/>
            </w:rPr>
            <w:t>88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23509F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_Toc25383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24.5计日工现场签证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_Toc25383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EAB984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_Toc6476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24.6价值工程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_Toc6476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D2CFC8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24.7变更引起的工期调整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 \h </w:instrText>
          </w:r>
          <w:r>
            <w:rPr>
              <w:rFonts w:hint="eastAsia" w:ascii="仿宋" w:hAnsi="仿宋" w:eastAsia="仿宋" w:cs="仿宋"/>
              <w:sz w:val="28"/>
              <w:szCs w:val="28"/>
            </w:rPr>
            <w:fldChar w:fldCharType="separate"/>
          </w:r>
          <w:r>
            <w:rPr>
              <w:rFonts w:hint="eastAsia" w:ascii="仿宋" w:hAnsi="仿宋" w:eastAsia="仿宋" w:cs="仿宋"/>
              <w:sz w:val="28"/>
              <w:szCs w:val="28"/>
            </w:rPr>
            <w:t>90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3F013A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_Toc1158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25.工程变更价款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_Toc1158 \h </w:instrText>
          </w:r>
          <w:r>
            <w:rPr>
              <w:rFonts w:hint="eastAsia" w:ascii="仿宋" w:hAnsi="仿宋" w:eastAsia="仿宋" w:cs="仿宋"/>
              <w:sz w:val="28"/>
              <w:szCs w:val="28"/>
            </w:rPr>
            <w:fldChar w:fldCharType="separate"/>
          </w:r>
          <w:r>
            <w:rPr>
              <w:rFonts w:hint="eastAsia" w:ascii="仿宋" w:hAnsi="仿宋" w:eastAsia="仿宋" w:cs="仿宋"/>
              <w:sz w:val="28"/>
              <w:szCs w:val="28"/>
            </w:rPr>
            <w:t>90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5D2353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_Toc3507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25.1工程变更价款的确定方法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_Toc3507 \h </w:instrText>
          </w:r>
          <w:r>
            <w:rPr>
              <w:rFonts w:hint="eastAsia" w:ascii="仿宋" w:hAnsi="仿宋" w:eastAsia="仿宋" w:cs="仿宋"/>
              <w:sz w:val="28"/>
              <w:szCs w:val="28"/>
            </w:rPr>
            <w:fldChar w:fldCharType="separate"/>
          </w:r>
          <w:r>
            <w:rPr>
              <w:rFonts w:hint="eastAsia" w:ascii="仿宋" w:hAnsi="仿宋" w:eastAsia="仿宋" w:cs="仿宋"/>
              <w:sz w:val="28"/>
              <w:szCs w:val="28"/>
            </w:rPr>
            <w:t>90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959BCE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_Toc11264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25.2工程变更引起措施项目的调整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_Toc11264 \h </w:instrText>
          </w:r>
          <w:r>
            <w:rPr>
              <w:rFonts w:hint="eastAsia" w:ascii="仿宋" w:hAnsi="仿宋" w:eastAsia="仿宋" w:cs="仿宋"/>
              <w:sz w:val="28"/>
              <w:szCs w:val="28"/>
            </w:rPr>
            <w:fldChar w:fldCharType="separate"/>
          </w:r>
          <w:r>
            <w:rPr>
              <w:rFonts w:hint="eastAsia" w:ascii="仿宋" w:hAnsi="仿宋" w:eastAsia="仿宋" w:cs="仿宋"/>
              <w:sz w:val="28"/>
              <w:szCs w:val="28"/>
            </w:rPr>
            <w:t>91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0539BE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_Toc28240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25.3工程变更价款的确定程序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_Toc28240 \h </w:instrText>
          </w:r>
          <w:r>
            <w:rPr>
              <w:rFonts w:hint="eastAsia" w:ascii="仿宋" w:hAnsi="仿宋" w:eastAsia="仿宋" w:cs="仿宋"/>
              <w:sz w:val="28"/>
              <w:szCs w:val="28"/>
            </w:rPr>
            <w:fldChar w:fldCharType="separate"/>
          </w:r>
          <w:r>
            <w:rPr>
              <w:rFonts w:hint="eastAsia" w:ascii="仿宋" w:hAnsi="仿宋" w:eastAsia="仿宋" w:cs="仿宋"/>
              <w:sz w:val="28"/>
              <w:szCs w:val="28"/>
            </w:rPr>
            <w:t>92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E8E865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_Toc12202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25.4工程量变化调整项目单价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_Toc12202 \h </w:instrText>
          </w:r>
          <w:r>
            <w:rPr>
              <w:rFonts w:hint="eastAsia" w:ascii="仿宋" w:hAnsi="仿宋" w:eastAsia="仿宋" w:cs="仿宋"/>
              <w:sz w:val="28"/>
              <w:szCs w:val="28"/>
            </w:rPr>
            <w:fldChar w:fldCharType="separate"/>
          </w:r>
          <w:r>
            <w:rPr>
              <w:rFonts w:hint="eastAsia" w:ascii="仿宋" w:hAnsi="仿宋" w:eastAsia="仿宋" w:cs="仿宋"/>
              <w:sz w:val="28"/>
              <w:szCs w:val="28"/>
            </w:rPr>
            <w:t>92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2982BE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_Toc29421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25.5工程变更价款支付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_Toc29421 \h </w:instrText>
          </w:r>
          <w:r>
            <w:rPr>
              <w:rFonts w:hint="eastAsia" w:ascii="仿宋" w:hAnsi="仿宋" w:eastAsia="仿宋" w:cs="仿宋"/>
              <w:sz w:val="28"/>
              <w:szCs w:val="28"/>
            </w:rPr>
            <w:fldChar w:fldCharType="separate"/>
          </w:r>
          <w:r>
            <w:rPr>
              <w:rFonts w:hint="eastAsia" w:ascii="仿宋" w:hAnsi="仿宋" w:eastAsia="仿宋" w:cs="仿宋"/>
              <w:sz w:val="28"/>
              <w:szCs w:val="28"/>
            </w:rPr>
            <w:t>93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DD56BD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_Toc29345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25.6删减工作或工程的补偿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_Toc29345 \h </w:instrText>
          </w:r>
          <w:r>
            <w:rPr>
              <w:rFonts w:hint="eastAsia" w:ascii="仿宋" w:hAnsi="仿宋" w:eastAsia="仿宋" w:cs="仿宋"/>
              <w:sz w:val="28"/>
              <w:szCs w:val="28"/>
            </w:rPr>
            <w:fldChar w:fldCharType="separate"/>
          </w:r>
          <w:r>
            <w:rPr>
              <w:rFonts w:hint="eastAsia" w:ascii="仿宋" w:hAnsi="仿宋" w:eastAsia="仿宋" w:cs="仿宋"/>
              <w:sz w:val="28"/>
              <w:szCs w:val="28"/>
            </w:rPr>
            <w:t>93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4987A32">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_Toc14528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26.竣工验收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_Toc14528 \h </w:instrText>
          </w:r>
          <w:r>
            <w:rPr>
              <w:rFonts w:hint="eastAsia" w:ascii="仿宋" w:hAnsi="仿宋" w:eastAsia="仿宋" w:cs="仿宋"/>
              <w:sz w:val="28"/>
              <w:szCs w:val="28"/>
            </w:rPr>
            <w:fldChar w:fldCharType="separate"/>
          </w:r>
          <w:r>
            <w:rPr>
              <w:rFonts w:hint="eastAsia" w:ascii="仿宋" w:hAnsi="仿宋" w:eastAsia="仿宋" w:cs="仿宋"/>
              <w:sz w:val="28"/>
              <w:szCs w:val="28"/>
            </w:rPr>
            <w:t>93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D9254F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_Toc29093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26.1竣工验收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_Toc29093 \h </w:instrText>
          </w:r>
          <w:r>
            <w:rPr>
              <w:rFonts w:hint="eastAsia" w:ascii="仿宋" w:hAnsi="仿宋" w:eastAsia="仿宋" w:cs="仿宋"/>
              <w:sz w:val="28"/>
              <w:szCs w:val="28"/>
            </w:rPr>
            <w:fldChar w:fldCharType="separate"/>
          </w:r>
          <w:r>
            <w:rPr>
              <w:rFonts w:hint="eastAsia" w:ascii="仿宋" w:hAnsi="仿宋" w:eastAsia="仿宋" w:cs="仿宋"/>
              <w:sz w:val="28"/>
              <w:szCs w:val="28"/>
            </w:rPr>
            <w:t>93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AE137C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_Toc21599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26.2竣工验收合格后的移交和清理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_Toc21599 \h </w:instrText>
          </w:r>
          <w:r>
            <w:rPr>
              <w:rFonts w:hint="eastAsia" w:ascii="仿宋" w:hAnsi="仿宋" w:eastAsia="仿宋" w:cs="仿宋"/>
              <w:sz w:val="28"/>
              <w:szCs w:val="28"/>
            </w:rPr>
            <w:fldChar w:fldCharType="separate"/>
          </w:r>
          <w:r>
            <w:rPr>
              <w:rFonts w:hint="eastAsia" w:ascii="仿宋" w:hAnsi="仿宋" w:eastAsia="仿宋" w:cs="仿宋"/>
              <w:sz w:val="28"/>
              <w:szCs w:val="28"/>
            </w:rPr>
            <w:t>94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F96DC5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_Toc13923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26.3竣工验收质量不合格和重新验收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_Toc13923 \h </w:instrText>
          </w:r>
          <w:r>
            <w:rPr>
              <w:rFonts w:hint="eastAsia" w:ascii="仿宋" w:hAnsi="仿宋" w:eastAsia="仿宋" w:cs="仿宋"/>
              <w:sz w:val="28"/>
              <w:szCs w:val="28"/>
            </w:rPr>
            <w:fldChar w:fldCharType="separate"/>
          </w:r>
          <w:r>
            <w:rPr>
              <w:rFonts w:hint="eastAsia" w:ascii="仿宋" w:hAnsi="仿宋" w:eastAsia="仿宋" w:cs="仿宋"/>
              <w:sz w:val="28"/>
              <w:szCs w:val="28"/>
            </w:rPr>
            <w:t>95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D72EBD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_Toc6768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26.4竣工日期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_Toc6768 \h </w:instrText>
          </w:r>
          <w:r>
            <w:rPr>
              <w:rFonts w:hint="eastAsia" w:ascii="仿宋" w:hAnsi="仿宋" w:eastAsia="仿宋" w:cs="仿宋"/>
              <w:sz w:val="28"/>
              <w:szCs w:val="28"/>
            </w:rPr>
            <w:fldChar w:fldCharType="separate"/>
          </w:r>
          <w:r>
            <w:rPr>
              <w:rFonts w:hint="eastAsia" w:ascii="仿宋" w:hAnsi="仿宋" w:eastAsia="仿宋" w:cs="仿宋"/>
              <w:sz w:val="28"/>
              <w:szCs w:val="28"/>
            </w:rPr>
            <w:t>96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AEC188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_Toc5614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26.5拒绝接收全部或部分工程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_Toc5614 \h </w:instrText>
          </w:r>
          <w:r>
            <w:rPr>
              <w:rFonts w:hint="eastAsia" w:ascii="仿宋" w:hAnsi="仿宋" w:eastAsia="仿宋" w:cs="仿宋"/>
              <w:sz w:val="28"/>
              <w:szCs w:val="28"/>
            </w:rPr>
            <w:fldChar w:fldCharType="separate"/>
          </w:r>
          <w:r>
            <w:rPr>
              <w:rFonts w:hint="eastAsia" w:ascii="仿宋" w:hAnsi="仿宋" w:eastAsia="仿宋" w:cs="仿宋"/>
              <w:sz w:val="28"/>
              <w:szCs w:val="28"/>
            </w:rPr>
            <w:t>96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B6EE39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_Toc6834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26.6竣工验收工程质量争议处理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_Toc6834 \h </w:instrText>
          </w:r>
          <w:r>
            <w:rPr>
              <w:rFonts w:hint="eastAsia" w:ascii="仿宋" w:hAnsi="仿宋" w:eastAsia="仿宋" w:cs="仿宋"/>
              <w:sz w:val="28"/>
              <w:szCs w:val="28"/>
            </w:rPr>
            <w:fldChar w:fldCharType="separate"/>
          </w:r>
          <w:r>
            <w:rPr>
              <w:rFonts w:hint="eastAsia" w:ascii="仿宋" w:hAnsi="仿宋" w:eastAsia="仿宋" w:cs="仿宋"/>
              <w:sz w:val="28"/>
              <w:szCs w:val="28"/>
            </w:rPr>
            <w:t>96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8C2E25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_Toc7194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26.7履约评价与优质优价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_Toc7194 \h </w:instrText>
          </w:r>
          <w:r>
            <w:rPr>
              <w:rFonts w:hint="eastAsia" w:ascii="仿宋" w:hAnsi="仿宋" w:eastAsia="仿宋" w:cs="仿宋"/>
              <w:sz w:val="28"/>
              <w:szCs w:val="28"/>
            </w:rPr>
            <w:fldChar w:fldCharType="separate"/>
          </w:r>
          <w:r>
            <w:rPr>
              <w:rFonts w:hint="eastAsia" w:ascii="仿宋" w:hAnsi="仿宋" w:eastAsia="仿宋" w:cs="仿宋"/>
              <w:sz w:val="28"/>
              <w:szCs w:val="28"/>
            </w:rPr>
            <w:t>97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920E7FC">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_Toc18550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27.竣工结算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_Toc18550 \h </w:instrText>
          </w:r>
          <w:r>
            <w:rPr>
              <w:rFonts w:hint="eastAsia" w:ascii="仿宋" w:hAnsi="仿宋" w:eastAsia="仿宋" w:cs="仿宋"/>
              <w:sz w:val="28"/>
              <w:szCs w:val="28"/>
            </w:rPr>
            <w:fldChar w:fldCharType="separate"/>
          </w:r>
          <w:r>
            <w:rPr>
              <w:rFonts w:hint="eastAsia" w:ascii="仿宋" w:hAnsi="仿宋" w:eastAsia="仿宋" w:cs="仿宋"/>
              <w:sz w:val="28"/>
              <w:szCs w:val="28"/>
            </w:rPr>
            <w:t>97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D8F4FF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_Toc21143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27.1竣工结算书的编制和提交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_Toc21143 \h </w:instrText>
          </w:r>
          <w:r>
            <w:rPr>
              <w:rFonts w:hint="eastAsia" w:ascii="仿宋" w:hAnsi="仿宋" w:eastAsia="仿宋" w:cs="仿宋"/>
              <w:sz w:val="28"/>
              <w:szCs w:val="28"/>
            </w:rPr>
            <w:fldChar w:fldCharType="separate"/>
          </w:r>
          <w:r>
            <w:rPr>
              <w:rFonts w:hint="eastAsia" w:ascii="仿宋" w:hAnsi="仿宋" w:eastAsia="仿宋" w:cs="仿宋"/>
              <w:sz w:val="28"/>
              <w:szCs w:val="28"/>
            </w:rPr>
            <w:t>97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E3843B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_Toc25541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27.2竣工结算书的核对和修改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_Toc25541 \h </w:instrText>
          </w:r>
          <w:r>
            <w:rPr>
              <w:rFonts w:hint="eastAsia" w:ascii="仿宋" w:hAnsi="仿宋" w:eastAsia="仿宋" w:cs="仿宋"/>
              <w:sz w:val="28"/>
              <w:szCs w:val="28"/>
            </w:rPr>
            <w:fldChar w:fldCharType="separate"/>
          </w:r>
          <w:r>
            <w:rPr>
              <w:rFonts w:hint="eastAsia" w:ascii="仿宋" w:hAnsi="仿宋" w:eastAsia="仿宋" w:cs="仿宋"/>
              <w:sz w:val="28"/>
              <w:szCs w:val="28"/>
            </w:rPr>
            <w:t>98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9F09CC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_Toc18941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27.3竣工结算书核对次数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_Toc18941 \h </w:instrText>
          </w:r>
          <w:r>
            <w:rPr>
              <w:rFonts w:hint="eastAsia" w:ascii="仿宋" w:hAnsi="仿宋" w:eastAsia="仿宋" w:cs="仿宋"/>
              <w:sz w:val="28"/>
              <w:szCs w:val="28"/>
            </w:rPr>
            <w:fldChar w:fldCharType="separate"/>
          </w:r>
          <w:r>
            <w:rPr>
              <w:rFonts w:hint="eastAsia" w:ascii="仿宋" w:hAnsi="仿宋" w:eastAsia="仿宋" w:cs="仿宋"/>
              <w:sz w:val="28"/>
              <w:szCs w:val="28"/>
            </w:rPr>
            <w:t>98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F33FE2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_Toc4286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27.4承包人不提交竣工结算书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_Toc4286 \h </w:instrText>
          </w:r>
          <w:r>
            <w:rPr>
              <w:rFonts w:hint="eastAsia" w:ascii="仿宋" w:hAnsi="仿宋" w:eastAsia="仿宋" w:cs="仿宋"/>
              <w:sz w:val="28"/>
              <w:szCs w:val="28"/>
            </w:rPr>
            <w:fldChar w:fldCharType="separate"/>
          </w:r>
          <w:r>
            <w:rPr>
              <w:rFonts w:hint="eastAsia" w:ascii="仿宋" w:hAnsi="仿宋" w:eastAsia="仿宋" w:cs="仿宋"/>
              <w:sz w:val="28"/>
              <w:szCs w:val="28"/>
            </w:rPr>
            <w:t>99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54527E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_Toc15405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27.5发包人逾期不结算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_Toc15405 \h </w:instrText>
          </w:r>
          <w:r>
            <w:rPr>
              <w:rFonts w:hint="eastAsia" w:ascii="仿宋" w:hAnsi="仿宋" w:eastAsia="仿宋" w:cs="仿宋"/>
              <w:sz w:val="28"/>
              <w:szCs w:val="28"/>
            </w:rPr>
            <w:fldChar w:fldCharType="separate"/>
          </w:r>
          <w:r>
            <w:rPr>
              <w:rFonts w:hint="eastAsia" w:ascii="仿宋" w:hAnsi="仿宋" w:eastAsia="仿宋" w:cs="仿宋"/>
              <w:sz w:val="28"/>
              <w:szCs w:val="28"/>
            </w:rPr>
            <w:t>99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3F438C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_Toc14076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27.6竣工结算审计或审核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_Toc14076 \h </w:instrText>
          </w:r>
          <w:r>
            <w:rPr>
              <w:rFonts w:hint="eastAsia" w:ascii="仿宋" w:hAnsi="仿宋" w:eastAsia="仿宋" w:cs="仿宋"/>
              <w:sz w:val="28"/>
              <w:szCs w:val="28"/>
            </w:rPr>
            <w:fldChar w:fldCharType="separate"/>
          </w:r>
          <w:r>
            <w:rPr>
              <w:rFonts w:hint="eastAsia" w:ascii="仿宋" w:hAnsi="仿宋" w:eastAsia="仿宋" w:cs="仿宋"/>
              <w:sz w:val="28"/>
              <w:szCs w:val="28"/>
            </w:rPr>
            <w:t>99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248CCE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_Toc6826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27.7竣工结算支付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_Toc6826 \h </w:instrText>
          </w:r>
          <w:r>
            <w:rPr>
              <w:rFonts w:hint="eastAsia" w:ascii="仿宋" w:hAnsi="仿宋" w:eastAsia="仿宋" w:cs="仿宋"/>
              <w:sz w:val="28"/>
              <w:szCs w:val="28"/>
            </w:rPr>
            <w:fldChar w:fldCharType="separate"/>
          </w:r>
          <w:r>
            <w:rPr>
              <w:rFonts w:hint="eastAsia" w:ascii="仿宋" w:hAnsi="仿宋" w:eastAsia="仿宋" w:cs="仿宋"/>
              <w:sz w:val="28"/>
              <w:szCs w:val="28"/>
            </w:rPr>
            <w:t>100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EEE18D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_Toc20732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27.8最终结清申请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_Toc20732 \h </w:instrText>
          </w:r>
          <w:r>
            <w:rPr>
              <w:rFonts w:hint="eastAsia" w:ascii="仿宋" w:hAnsi="仿宋" w:eastAsia="仿宋" w:cs="仿宋"/>
              <w:sz w:val="28"/>
              <w:szCs w:val="28"/>
            </w:rPr>
            <w:fldChar w:fldCharType="separate"/>
          </w:r>
          <w:r>
            <w:rPr>
              <w:rFonts w:hint="eastAsia" w:ascii="仿宋" w:hAnsi="仿宋" w:eastAsia="仿宋" w:cs="仿宋"/>
              <w:sz w:val="28"/>
              <w:szCs w:val="28"/>
            </w:rPr>
            <w:t>101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6F82C8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_Toc12512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27.9最终结清证书和支付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_Toc12512 \h </w:instrText>
          </w:r>
          <w:r>
            <w:rPr>
              <w:rFonts w:hint="eastAsia" w:ascii="仿宋" w:hAnsi="仿宋" w:eastAsia="仿宋" w:cs="仿宋"/>
              <w:sz w:val="28"/>
              <w:szCs w:val="28"/>
            </w:rPr>
            <w:fldChar w:fldCharType="separate"/>
          </w:r>
          <w:r>
            <w:rPr>
              <w:rFonts w:hint="eastAsia" w:ascii="仿宋" w:hAnsi="仿宋" w:eastAsia="仿宋" w:cs="仿宋"/>
              <w:sz w:val="28"/>
              <w:szCs w:val="28"/>
            </w:rPr>
            <w:t>101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DA779A4">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_Toc21467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28.违约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_Toc21467 \h </w:instrText>
          </w:r>
          <w:r>
            <w:rPr>
              <w:rFonts w:hint="eastAsia" w:ascii="仿宋" w:hAnsi="仿宋" w:eastAsia="仿宋" w:cs="仿宋"/>
              <w:sz w:val="28"/>
              <w:szCs w:val="28"/>
            </w:rPr>
            <w:fldChar w:fldCharType="separate"/>
          </w:r>
          <w:r>
            <w:rPr>
              <w:rFonts w:hint="eastAsia" w:ascii="仿宋" w:hAnsi="仿宋" w:eastAsia="仿宋" w:cs="仿宋"/>
              <w:sz w:val="28"/>
              <w:szCs w:val="28"/>
            </w:rPr>
            <w:t>101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5BF440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28.1发包人违约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_Toc363 \h </w:instrText>
          </w:r>
          <w:r>
            <w:rPr>
              <w:rFonts w:hint="eastAsia" w:ascii="仿宋" w:hAnsi="仿宋" w:eastAsia="仿宋" w:cs="仿宋"/>
              <w:sz w:val="28"/>
              <w:szCs w:val="28"/>
            </w:rPr>
            <w:fldChar w:fldCharType="separate"/>
          </w:r>
          <w:r>
            <w:rPr>
              <w:rFonts w:hint="eastAsia" w:ascii="仿宋" w:hAnsi="仿宋" w:eastAsia="仿宋" w:cs="仿宋"/>
              <w:sz w:val="28"/>
              <w:szCs w:val="28"/>
            </w:rPr>
            <w:t>101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76A953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_Toc23013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28.2承包人违约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_Toc23013 \h </w:instrText>
          </w:r>
          <w:r>
            <w:rPr>
              <w:rFonts w:hint="eastAsia" w:ascii="仿宋" w:hAnsi="仿宋" w:eastAsia="仿宋" w:cs="仿宋"/>
              <w:sz w:val="28"/>
              <w:szCs w:val="28"/>
            </w:rPr>
            <w:fldChar w:fldCharType="separate"/>
          </w:r>
          <w:r>
            <w:rPr>
              <w:rFonts w:hint="eastAsia" w:ascii="仿宋" w:hAnsi="仿宋" w:eastAsia="仿宋" w:cs="仿宋"/>
              <w:sz w:val="28"/>
              <w:szCs w:val="28"/>
            </w:rPr>
            <w:t>102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E5E865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_Toc32483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28.3第三人造成的违约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_Toc32483 \h </w:instrText>
          </w:r>
          <w:r>
            <w:rPr>
              <w:rFonts w:hint="eastAsia" w:ascii="仿宋" w:hAnsi="仿宋" w:eastAsia="仿宋" w:cs="仿宋"/>
              <w:sz w:val="28"/>
              <w:szCs w:val="28"/>
            </w:rPr>
            <w:fldChar w:fldCharType="separate"/>
          </w:r>
          <w:r>
            <w:rPr>
              <w:rFonts w:hint="eastAsia" w:ascii="仿宋" w:hAnsi="仿宋" w:eastAsia="仿宋" w:cs="仿宋"/>
              <w:sz w:val="28"/>
              <w:szCs w:val="28"/>
            </w:rPr>
            <w:t>103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F2F5E5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_Toc20179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28.4继续履行合同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_Toc20179 \h </w:instrText>
          </w:r>
          <w:r>
            <w:rPr>
              <w:rFonts w:hint="eastAsia" w:ascii="仿宋" w:hAnsi="仿宋" w:eastAsia="仿宋" w:cs="仿宋"/>
              <w:sz w:val="28"/>
              <w:szCs w:val="28"/>
            </w:rPr>
            <w:fldChar w:fldCharType="separate"/>
          </w:r>
          <w:r>
            <w:rPr>
              <w:rFonts w:hint="eastAsia" w:ascii="仿宋" w:hAnsi="仿宋" w:eastAsia="仿宋" w:cs="仿宋"/>
              <w:sz w:val="28"/>
              <w:szCs w:val="28"/>
            </w:rPr>
            <w:t>103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9615C0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_Toc952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29.索赔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 \h </w:instrText>
          </w:r>
          <w:r>
            <w:rPr>
              <w:rFonts w:hint="eastAsia" w:ascii="仿宋" w:hAnsi="仿宋" w:eastAsia="仿宋" w:cs="仿宋"/>
              <w:sz w:val="28"/>
              <w:szCs w:val="28"/>
            </w:rPr>
            <w:fldChar w:fldCharType="separate"/>
          </w:r>
          <w:r>
            <w:rPr>
              <w:rFonts w:hint="eastAsia" w:ascii="仿宋" w:hAnsi="仿宋" w:eastAsia="仿宋" w:cs="仿宋"/>
              <w:sz w:val="28"/>
              <w:szCs w:val="28"/>
            </w:rPr>
            <w:t>103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9A0583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_Toc4767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29.1索赔理由与记录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_Toc4767 \h </w:instrText>
          </w:r>
          <w:r>
            <w:rPr>
              <w:rFonts w:hint="eastAsia" w:ascii="仿宋" w:hAnsi="仿宋" w:eastAsia="仿宋" w:cs="仿宋"/>
              <w:sz w:val="28"/>
              <w:szCs w:val="28"/>
            </w:rPr>
            <w:fldChar w:fldCharType="separate"/>
          </w:r>
          <w:r>
            <w:rPr>
              <w:rFonts w:hint="eastAsia" w:ascii="仿宋" w:hAnsi="仿宋" w:eastAsia="仿宋" w:cs="仿宋"/>
              <w:sz w:val="28"/>
              <w:szCs w:val="28"/>
            </w:rPr>
            <w:t>103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D4C642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_Toc18966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29.2索赔内容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_Toc18966 \h </w:instrText>
          </w:r>
          <w:r>
            <w:rPr>
              <w:rFonts w:hint="eastAsia" w:ascii="仿宋" w:hAnsi="仿宋" w:eastAsia="仿宋" w:cs="仿宋"/>
              <w:sz w:val="28"/>
              <w:szCs w:val="28"/>
            </w:rPr>
            <w:fldChar w:fldCharType="separate"/>
          </w:r>
          <w:r>
            <w:rPr>
              <w:rFonts w:hint="eastAsia" w:ascii="仿宋" w:hAnsi="仿宋" w:eastAsia="仿宋" w:cs="仿宋"/>
              <w:sz w:val="28"/>
              <w:szCs w:val="28"/>
            </w:rPr>
            <w:t>103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3F4F5E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_Toc28763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29.3发包人索赔情形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_Toc28763 \h </w:instrText>
          </w:r>
          <w:r>
            <w:rPr>
              <w:rFonts w:hint="eastAsia" w:ascii="仿宋" w:hAnsi="仿宋" w:eastAsia="仿宋" w:cs="仿宋"/>
              <w:sz w:val="28"/>
              <w:szCs w:val="28"/>
            </w:rPr>
            <w:fldChar w:fldCharType="separate"/>
          </w:r>
          <w:r>
            <w:rPr>
              <w:rFonts w:hint="eastAsia" w:ascii="仿宋" w:hAnsi="仿宋" w:eastAsia="仿宋" w:cs="仿宋"/>
              <w:sz w:val="28"/>
              <w:szCs w:val="28"/>
            </w:rPr>
            <w:t>104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981C62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_Toc27645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29.4发包人索赔程序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_Toc27645 \h </w:instrText>
          </w:r>
          <w:r>
            <w:rPr>
              <w:rFonts w:hint="eastAsia" w:ascii="仿宋" w:hAnsi="仿宋" w:eastAsia="仿宋" w:cs="仿宋"/>
              <w:sz w:val="28"/>
              <w:szCs w:val="28"/>
            </w:rPr>
            <w:fldChar w:fldCharType="separate"/>
          </w:r>
          <w:r>
            <w:rPr>
              <w:rFonts w:hint="eastAsia" w:ascii="仿宋" w:hAnsi="仿宋" w:eastAsia="仿宋" w:cs="仿宋"/>
              <w:sz w:val="28"/>
              <w:szCs w:val="28"/>
            </w:rPr>
            <w:t>104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98F167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_Toc28790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29.5承包人索赔情形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_Toc28790 \h </w:instrText>
          </w:r>
          <w:r>
            <w:rPr>
              <w:rFonts w:hint="eastAsia" w:ascii="仿宋" w:hAnsi="仿宋" w:eastAsia="仿宋" w:cs="仿宋"/>
              <w:sz w:val="28"/>
              <w:szCs w:val="28"/>
            </w:rPr>
            <w:fldChar w:fldCharType="separate"/>
          </w:r>
          <w:r>
            <w:rPr>
              <w:rFonts w:hint="eastAsia" w:ascii="仿宋" w:hAnsi="仿宋" w:eastAsia="仿宋" w:cs="仿宋"/>
              <w:sz w:val="28"/>
              <w:szCs w:val="28"/>
            </w:rPr>
            <w:t>105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3051C0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_Toc29923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29.6承包人索赔程序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_Toc29923 \h </w:instrText>
          </w:r>
          <w:r>
            <w:rPr>
              <w:rFonts w:hint="eastAsia" w:ascii="仿宋" w:hAnsi="仿宋" w:eastAsia="仿宋" w:cs="仿宋"/>
              <w:sz w:val="28"/>
              <w:szCs w:val="28"/>
            </w:rPr>
            <w:fldChar w:fldCharType="separate"/>
          </w:r>
          <w:r>
            <w:rPr>
              <w:rFonts w:hint="eastAsia" w:ascii="仿宋" w:hAnsi="仿宋" w:eastAsia="仿宋" w:cs="仿宋"/>
              <w:sz w:val="28"/>
              <w:szCs w:val="28"/>
            </w:rPr>
            <w:t>106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02AFB6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29.7提出索赔的期限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_Toc2627 \h </w:instrText>
          </w:r>
          <w:r>
            <w:rPr>
              <w:rFonts w:hint="eastAsia" w:ascii="仿宋" w:hAnsi="仿宋" w:eastAsia="仿宋" w:cs="仿宋"/>
              <w:sz w:val="28"/>
              <w:szCs w:val="28"/>
            </w:rPr>
            <w:fldChar w:fldCharType="separate"/>
          </w:r>
          <w:r>
            <w:rPr>
              <w:rFonts w:hint="eastAsia" w:ascii="仿宋" w:hAnsi="仿宋" w:eastAsia="仿宋" w:cs="仿宋"/>
              <w:sz w:val="28"/>
              <w:szCs w:val="28"/>
            </w:rPr>
            <w:t>107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A695B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_Toc6557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29.8索赔费用的支付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_Toc6557 \h </w:instrText>
          </w:r>
          <w:r>
            <w:rPr>
              <w:rFonts w:hint="eastAsia" w:ascii="仿宋" w:hAnsi="仿宋" w:eastAsia="仿宋" w:cs="仿宋"/>
              <w:sz w:val="28"/>
              <w:szCs w:val="28"/>
            </w:rPr>
            <w:fldChar w:fldCharType="separate"/>
          </w:r>
          <w:r>
            <w:rPr>
              <w:rFonts w:hint="eastAsia" w:ascii="仿宋" w:hAnsi="仿宋" w:eastAsia="仿宋" w:cs="仿宋"/>
              <w:sz w:val="28"/>
              <w:szCs w:val="28"/>
            </w:rPr>
            <w:t>107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9B5CA4E">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_Toc5840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30.争议解决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_Toc5840 \h </w:instrText>
          </w:r>
          <w:r>
            <w:rPr>
              <w:rFonts w:hint="eastAsia" w:ascii="仿宋" w:hAnsi="仿宋" w:eastAsia="仿宋" w:cs="仿宋"/>
              <w:sz w:val="28"/>
              <w:szCs w:val="28"/>
            </w:rPr>
            <w:fldChar w:fldCharType="separate"/>
          </w:r>
          <w:r>
            <w:rPr>
              <w:rFonts w:hint="eastAsia" w:ascii="仿宋" w:hAnsi="仿宋" w:eastAsia="仿宋" w:cs="仿宋"/>
              <w:sz w:val="28"/>
              <w:szCs w:val="28"/>
            </w:rPr>
            <w:t>107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C206AD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_Toc4197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30.1争议的解决方式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_Toc4197 \h </w:instrText>
          </w:r>
          <w:r>
            <w:rPr>
              <w:rFonts w:hint="eastAsia" w:ascii="仿宋" w:hAnsi="仿宋" w:eastAsia="仿宋" w:cs="仿宋"/>
              <w:sz w:val="28"/>
              <w:szCs w:val="28"/>
            </w:rPr>
            <w:fldChar w:fldCharType="separate"/>
          </w:r>
          <w:r>
            <w:rPr>
              <w:rFonts w:hint="eastAsia" w:ascii="仿宋" w:hAnsi="仿宋" w:eastAsia="仿宋" w:cs="仿宋"/>
              <w:sz w:val="28"/>
              <w:szCs w:val="28"/>
            </w:rPr>
            <w:t>107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E99D57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_Toc14149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30.2继续履行合同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_Toc14149 \h </w:instrText>
          </w:r>
          <w:r>
            <w:rPr>
              <w:rFonts w:hint="eastAsia" w:ascii="仿宋" w:hAnsi="仿宋" w:eastAsia="仿宋" w:cs="仿宋"/>
              <w:sz w:val="28"/>
              <w:szCs w:val="28"/>
            </w:rPr>
            <w:fldChar w:fldCharType="separate"/>
          </w:r>
          <w:r>
            <w:rPr>
              <w:rFonts w:hint="eastAsia" w:ascii="仿宋" w:hAnsi="仿宋" w:eastAsia="仿宋" w:cs="仿宋"/>
              <w:sz w:val="28"/>
              <w:szCs w:val="28"/>
            </w:rPr>
            <w:t>108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47176D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_Toc4662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31.工程缺陷责任与保修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_Toc4662 \h </w:instrText>
          </w:r>
          <w:r>
            <w:rPr>
              <w:rFonts w:hint="eastAsia" w:ascii="仿宋" w:hAnsi="仿宋" w:eastAsia="仿宋" w:cs="仿宋"/>
              <w:sz w:val="28"/>
              <w:szCs w:val="28"/>
            </w:rPr>
            <w:fldChar w:fldCharType="separate"/>
          </w:r>
          <w:r>
            <w:rPr>
              <w:rFonts w:hint="eastAsia" w:ascii="仿宋" w:hAnsi="仿宋" w:eastAsia="仿宋" w:cs="仿宋"/>
              <w:sz w:val="28"/>
              <w:szCs w:val="28"/>
            </w:rPr>
            <w:t>108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373E09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_Toc13155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31.1工程保修的原则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_Toc13155 \h </w:instrText>
          </w:r>
          <w:r>
            <w:rPr>
              <w:rFonts w:hint="eastAsia" w:ascii="仿宋" w:hAnsi="仿宋" w:eastAsia="仿宋" w:cs="仿宋"/>
              <w:sz w:val="28"/>
              <w:szCs w:val="28"/>
            </w:rPr>
            <w:fldChar w:fldCharType="separate"/>
          </w:r>
          <w:r>
            <w:rPr>
              <w:rFonts w:hint="eastAsia" w:ascii="仿宋" w:hAnsi="仿宋" w:eastAsia="仿宋" w:cs="仿宋"/>
              <w:sz w:val="28"/>
              <w:szCs w:val="28"/>
            </w:rPr>
            <w:t>108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F6A741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_Toc6096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31.2缺陷责任期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_Toc6096 \h </w:instrText>
          </w:r>
          <w:r>
            <w:rPr>
              <w:rFonts w:hint="eastAsia" w:ascii="仿宋" w:hAnsi="仿宋" w:eastAsia="仿宋" w:cs="仿宋"/>
              <w:sz w:val="28"/>
              <w:szCs w:val="28"/>
            </w:rPr>
            <w:fldChar w:fldCharType="separate"/>
          </w:r>
          <w:r>
            <w:rPr>
              <w:rFonts w:hint="eastAsia" w:ascii="仿宋" w:hAnsi="仿宋" w:eastAsia="仿宋" w:cs="仿宋"/>
              <w:sz w:val="28"/>
              <w:szCs w:val="28"/>
            </w:rPr>
            <w:t>108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73DB2E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_Toc14558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31.3质量保证金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_Toc14558 \h </w:instrText>
          </w:r>
          <w:r>
            <w:rPr>
              <w:rFonts w:hint="eastAsia" w:ascii="仿宋" w:hAnsi="仿宋" w:eastAsia="仿宋" w:cs="仿宋"/>
              <w:sz w:val="28"/>
              <w:szCs w:val="28"/>
            </w:rPr>
            <w:fldChar w:fldCharType="separate"/>
          </w:r>
          <w:r>
            <w:rPr>
              <w:rFonts w:hint="eastAsia" w:ascii="仿宋" w:hAnsi="仿宋" w:eastAsia="仿宋" w:cs="仿宋"/>
              <w:sz w:val="28"/>
              <w:szCs w:val="28"/>
            </w:rPr>
            <w:t>109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B98A8F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_Toc14375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31.4保修责任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_Toc14375 \h </w:instrText>
          </w:r>
          <w:r>
            <w:rPr>
              <w:rFonts w:hint="eastAsia" w:ascii="仿宋" w:hAnsi="仿宋" w:eastAsia="仿宋" w:cs="仿宋"/>
              <w:sz w:val="28"/>
              <w:szCs w:val="28"/>
            </w:rPr>
            <w:fldChar w:fldCharType="separate"/>
          </w:r>
          <w:r>
            <w:rPr>
              <w:rFonts w:hint="eastAsia" w:ascii="仿宋" w:hAnsi="仿宋" w:eastAsia="仿宋" w:cs="仿宋"/>
              <w:sz w:val="28"/>
              <w:szCs w:val="28"/>
            </w:rPr>
            <w:t>110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246E9C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_Toc27301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31.5修复费用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_Toc27301 \h </w:instrText>
          </w:r>
          <w:r>
            <w:rPr>
              <w:rFonts w:hint="eastAsia" w:ascii="仿宋" w:hAnsi="仿宋" w:eastAsia="仿宋" w:cs="仿宋"/>
              <w:sz w:val="28"/>
              <w:szCs w:val="28"/>
            </w:rPr>
            <w:fldChar w:fldCharType="separate"/>
          </w:r>
          <w:r>
            <w:rPr>
              <w:rFonts w:hint="eastAsia" w:ascii="仿宋" w:hAnsi="仿宋" w:eastAsia="仿宋" w:cs="仿宋"/>
              <w:sz w:val="28"/>
              <w:szCs w:val="28"/>
            </w:rPr>
            <w:t>110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257CA2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_Toc31501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31.6修复通知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_Toc31501 \h </w:instrText>
          </w:r>
          <w:r>
            <w:rPr>
              <w:rFonts w:hint="eastAsia" w:ascii="仿宋" w:hAnsi="仿宋" w:eastAsia="仿宋" w:cs="仿宋"/>
              <w:sz w:val="28"/>
              <w:szCs w:val="28"/>
            </w:rPr>
            <w:fldChar w:fldCharType="separate"/>
          </w:r>
          <w:r>
            <w:rPr>
              <w:rFonts w:hint="eastAsia" w:ascii="仿宋" w:hAnsi="仿宋" w:eastAsia="仿宋" w:cs="仿宋"/>
              <w:sz w:val="28"/>
              <w:szCs w:val="28"/>
            </w:rPr>
            <w:t>111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73AC78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_Toc26460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31.7未能修复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_Toc26460 \h </w:instrText>
          </w:r>
          <w:r>
            <w:rPr>
              <w:rFonts w:hint="eastAsia" w:ascii="仿宋" w:hAnsi="仿宋" w:eastAsia="仿宋" w:cs="仿宋"/>
              <w:sz w:val="28"/>
              <w:szCs w:val="28"/>
            </w:rPr>
            <w:fldChar w:fldCharType="separate"/>
          </w:r>
          <w:r>
            <w:rPr>
              <w:rFonts w:hint="eastAsia" w:ascii="仿宋" w:hAnsi="仿宋" w:eastAsia="仿宋" w:cs="仿宋"/>
              <w:sz w:val="28"/>
              <w:szCs w:val="28"/>
            </w:rPr>
            <w:t>111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E5A3B3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_Toc19023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31.8承包人出入权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_Toc19023 \h </w:instrText>
          </w:r>
          <w:r>
            <w:rPr>
              <w:rFonts w:hint="eastAsia" w:ascii="仿宋" w:hAnsi="仿宋" w:eastAsia="仿宋" w:cs="仿宋"/>
              <w:sz w:val="28"/>
              <w:szCs w:val="28"/>
            </w:rPr>
            <w:fldChar w:fldCharType="separate"/>
          </w:r>
          <w:r>
            <w:rPr>
              <w:rFonts w:hint="eastAsia" w:ascii="仿宋" w:hAnsi="仿宋" w:eastAsia="仿宋" w:cs="仿宋"/>
              <w:sz w:val="28"/>
              <w:szCs w:val="28"/>
            </w:rPr>
            <w:t>111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1C015D8">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_Toc26756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32.不可抗力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_Toc26756 \h </w:instrText>
          </w:r>
          <w:r>
            <w:rPr>
              <w:rFonts w:hint="eastAsia" w:ascii="仿宋" w:hAnsi="仿宋" w:eastAsia="仿宋" w:cs="仿宋"/>
              <w:sz w:val="28"/>
              <w:szCs w:val="28"/>
            </w:rPr>
            <w:fldChar w:fldCharType="separate"/>
          </w:r>
          <w:r>
            <w:rPr>
              <w:rFonts w:hint="eastAsia" w:ascii="仿宋" w:hAnsi="仿宋" w:eastAsia="仿宋" w:cs="仿宋"/>
              <w:sz w:val="28"/>
              <w:szCs w:val="28"/>
            </w:rPr>
            <w:t>112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840C8B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_Toc15524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32.1不可抗力包括范围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_Toc15524 \h </w:instrText>
          </w:r>
          <w:r>
            <w:rPr>
              <w:rFonts w:hint="eastAsia" w:ascii="仿宋" w:hAnsi="仿宋" w:eastAsia="仿宋" w:cs="仿宋"/>
              <w:sz w:val="28"/>
              <w:szCs w:val="28"/>
            </w:rPr>
            <w:fldChar w:fldCharType="separate"/>
          </w:r>
          <w:r>
            <w:rPr>
              <w:rFonts w:hint="eastAsia" w:ascii="仿宋" w:hAnsi="仿宋" w:eastAsia="仿宋" w:cs="仿宋"/>
              <w:sz w:val="28"/>
              <w:szCs w:val="28"/>
            </w:rPr>
            <w:t>112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B4F23E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_Toc26679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32.2不可抗力的确认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_Toc26679 \h </w:instrText>
          </w:r>
          <w:r>
            <w:rPr>
              <w:rFonts w:hint="eastAsia" w:ascii="仿宋" w:hAnsi="仿宋" w:eastAsia="仿宋" w:cs="仿宋"/>
              <w:sz w:val="28"/>
              <w:szCs w:val="28"/>
            </w:rPr>
            <w:fldChar w:fldCharType="separate"/>
          </w:r>
          <w:r>
            <w:rPr>
              <w:rFonts w:hint="eastAsia" w:ascii="仿宋" w:hAnsi="仿宋" w:eastAsia="仿宋" w:cs="仿宋"/>
              <w:sz w:val="28"/>
              <w:szCs w:val="28"/>
            </w:rPr>
            <w:t>112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7F0F95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_Toc4376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32.3不可抗力处理程序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_Toc4376 \h </w:instrText>
          </w:r>
          <w:r>
            <w:rPr>
              <w:rFonts w:hint="eastAsia" w:ascii="仿宋" w:hAnsi="仿宋" w:eastAsia="仿宋" w:cs="仿宋"/>
              <w:sz w:val="28"/>
              <w:szCs w:val="28"/>
            </w:rPr>
            <w:fldChar w:fldCharType="separate"/>
          </w:r>
          <w:r>
            <w:rPr>
              <w:rFonts w:hint="eastAsia" w:ascii="仿宋" w:hAnsi="仿宋" w:eastAsia="仿宋" w:cs="仿宋"/>
              <w:sz w:val="28"/>
              <w:szCs w:val="28"/>
            </w:rPr>
            <w:t>112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5ADBC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_Toc26968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32.4不可抗力损失费用承担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_Toc26968 \h </w:instrText>
          </w:r>
          <w:r>
            <w:rPr>
              <w:rFonts w:hint="eastAsia" w:ascii="仿宋" w:hAnsi="仿宋" w:eastAsia="仿宋" w:cs="仿宋"/>
              <w:sz w:val="28"/>
              <w:szCs w:val="28"/>
            </w:rPr>
            <w:fldChar w:fldCharType="separate"/>
          </w:r>
          <w:r>
            <w:rPr>
              <w:rFonts w:hint="eastAsia" w:ascii="仿宋" w:hAnsi="仿宋" w:eastAsia="仿宋" w:cs="仿宋"/>
              <w:sz w:val="28"/>
              <w:szCs w:val="28"/>
            </w:rPr>
            <w:t>113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2913CBE">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_Toc9951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33.保险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_Toc9951 \h </w:instrText>
          </w:r>
          <w:r>
            <w:rPr>
              <w:rFonts w:hint="eastAsia" w:ascii="仿宋" w:hAnsi="仿宋" w:eastAsia="仿宋" w:cs="仿宋"/>
              <w:sz w:val="28"/>
              <w:szCs w:val="28"/>
            </w:rPr>
            <w:fldChar w:fldCharType="separate"/>
          </w:r>
          <w:r>
            <w:rPr>
              <w:rFonts w:hint="eastAsia" w:ascii="仿宋" w:hAnsi="仿宋" w:eastAsia="仿宋" w:cs="仿宋"/>
              <w:sz w:val="28"/>
              <w:szCs w:val="28"/>
            </w:rPr>
            <w:t>113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C5110D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_Toc7844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33.1发包人办理的保险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_Toc7844 \h </w:instrText>
          </w:r>
          <w:r>
            <w:rPr>
              <w:rFonts w:hint="eastAsia" w:ascii="仿宋" w:hAnsi="仿宋" w:eastAsia="仿宋" w:cs="仿宋"/>
              <w:sz w:val="28"/>
              <w:szCs w:val="28"/>
            </w:rPr>
            <w:fldChar w:fldCharType="separate"/>
          </w:r>
          <w:r>
            <w:rPr>
              <w:rFonts w:hint="eastAsia" w:ascii="仿宋" w:hAnsi="仿宋" w:eastAsia="仿宋" w:cs="仿宋"/>
              <w:sz w:val="28"/>
              <w:szCs w:val="28"/>
            </w:rPr>
            <w:t>113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391A66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_Toc23732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33.2承包人办理的保险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_Toc23732 \h </w:instrText>
          </w:r>
          <w:r>
            <w:rPr>
              <w:rFonts w:hint="eastAsia" w:ascii="仿宋" w:hAnsi="仿宋" w:eastAsia="仿宋" w:cs="仿宋"/>
              <w:sz w:val="28"/>
              <w:szCs w:val="28"/>
            </w:rPr>
            <w:fldChar w:fldCharType="separate"/>
          </w:r>
          <w:r>
            <w:rPr>
              <w:rFonts w:hint="eastAsia" w:ascii="仿宋" w:hAnsi="仿宋" w:eastAsia="仿宋" w:cs="仿宋"/>
              <w:sz w:val="28"/>
              <w:szCs w:val="28"/>
            </w:rPr>
            <w:t>114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1B37E2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_Toc20246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33.3投保人责任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_Toc20246 \h </w:instrText>
          </w:r>
          <w:r>
            <w:rPr>
              <w:rFonts w:hint="eastAsia" w:ascii="仿宋" w:hAnsi="仿宋" w:eastAsia="仿宋" w:cs="仿宋"/>
              <w:sz w:val="28"/>
              <w:szCs w:val="28"/>
            </w:rPr>
            <w:fldChar w:fldCharType="separate"/>
          </w:r>
          <w:r>
            <w:rPr>
              <w:rFonts w:hint="eastAsia" w:ascii="仿宋" w:hAnsi="仿宋" w:eastAsia="仿宋" w:cs="仿宋"/>
              <w:sz w:val="28"/>
              <w:szCs w:val="28"/>
            </w:rPr>
            <w:t>114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A15684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_Toc23597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33.4保险理赔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_Toc23597 \h </w:instrText>
          </w:r>
          <w:r>
            <w:rPr>
              <w:rFonts w:hint="eastAsia" w:ascii="仿宋" w:hAnsi="仿宋" w:eastAsia="仿宋" w:cs="仿宋"/>
              <w:sz w:val="28"/>
              <w:szCs w:val="28"/>
            </w:rPr>
            <w:fldChar w:fldCharType="separate"/>
          </w:r>
          <w:r>
            <w:rPr>
              <w:rFonts w:hint="eastAsia" w:ascii="仿宋" w:hAnsi="仿宋" w:eastAsia="仿宋" w:cs="仿宋"/>
              <w:sz w:val="28"/>
              <w:szCs w:val="28"/>
            </w:rPr>
            <w:t>114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3405BC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_Toc2664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33.5未按约定投保的补救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_Toc2664 \h </w:instrText>
          </w:r>
          <w:r>
            <w:rPr>
              <w:rFonts w:hint="eastAsia" w:ascii="仿宋" w:hAnsi="仿宋" w:eastAsia="仿宋" w:cs="仿宋"/>
              <w:sz w:val="28"/>
              <w:szCs w:val="28"/>
            </w:rPr>
            <w:fldChar w:fldCharType="separate"/>
          </w:r>
          <w:r>
            <w:rPr>
              <w:rFonts w:hint="eastAsia" w:ascii="仿宋" w:hAnsi="仿宋" w:eastAsia="仿宋" w:cs="仿宋"/>
              <w:sz w:val="28"/>
              <w:szCs w:val="28"/>
            </w:rPr>
            <w:t>115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D6B9083">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_Toc14503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34.工程担保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_Toc14503 \h </w:instrText>
          </w:r>
          <w:r>
            <w:rPr>
              <w:rFonts w:hint="eastAsia" w:ascii="仿宋" w:hAnsi="仿宋" w:eastAsia="仿宋" w:cs="仿宋"/>
              <w:sz w:val="28"/>
              <w:szCs w:val="28"/>
            </w:rPr>
            <w:fldChar w:fldCharType="separate"/>
          </w:r>
          <w:r>
            <w:rPr>
              <w:rFonts w:hint="eastAsia" w:ascii="仿宋" w:hAnsi="仿宋" w:eastAsia="仿宋" w:cs="仿宋"/>
              <w:sz w:val="28"/>
              <w:szCs w:val="28"/>
            </w:rPr>
            <w:t>115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3B32EF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_Toc5830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34.1履约担保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_Toc5830 \h </w:instrText>
          </w:r>
          <w:r>
            <w:rPr>
              <w:rFonts w:hint="eastAsia" w:ascii="仿宋" w:hAnsi="仿宋" w:eastAsia="仿宋" w:cs="仿宋"/>
              <w:sz w:val="28"/>
              <w:szCs w:val="28"/>
            </w:rPr>
            <w:fldChar w:fldCharType="separate"/>
          </w:r>
          <w:r>
            <w:rPr>
              <w:rFonts w:hint="eastAsia" w:ascii="仿宋" w:hAnsi="仿宋" w:eastAsia="仿宋" w:cs="仿宋"/>
              <w:sz w:val="28"/>
              <w:szCs w:val="28"/>
            </w:rPr>
            <w:t>115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6F1C29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_Toc18116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34.2支付担保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_Toc18116 \h </w:instrText>
          </w:r>
          <w:r>
            <w:rPr>
              <w:rFonts w:hint="eastAsia" w:ascii="仿宋" w:hAnsi="仿宋" w:eastAsia="仿宋" w:cs="仿宋"/>
              <w:sz w:val="28"/>
              <w:szCs w:val="28"/>
            </w:rPr>
            <w:fldChar w:fldCharType="separate"/>
          </w:r>
          <w:r>
            <w:rPr>
              <w:rFonts w:hint="eastAsia" w:ascii="仿宋" w:hAnsi="仿宋" w:eastAsia="仿宋" w:cs="仿宋"/>
              <w:sz w:val="28"/>
              <w:szCs w:val="28"/>
            </w:rPr>
            <w:t>115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748A76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lang w:val="en-US" w:eastAsia="zh-CN"/>
            </w:rPr>
            <w:t xml:space="preserve">3 </w:t>
          </w:r>
          <w:r>
            <w:rPr>
              <w:rFonts w:hint="eastAsia" w:ascii="仿宋" w:hAnsi="仿宋" w:eastAsia="仿宋" w:cs="仿宋"/>
              <w:sz w:val="28"/>
              <w:szCs w:val="28"/>
              <w:highlight w:val="none"/>
            </w:rPr>
            <w:t>保证人支付索赔款项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_Toc2282 \h </w:instrText>
          </w:r>
          <w:r>
            <w:rPr>
              <w:rFonts w:hint="eastAsia" w:ascii="仿宋" w:hAnsi="仿宋" w:eastAsia="仿宋" w:cs="仿宋"/>
              <w:sz w:val="28"/>
              <w:szCs w:val="28"/>
            </w:rPr>
            <w:fldChar w:fldCharType="separate"/>
          </w:r>
          <w:r>
            <w:rPr>
              <w:rFonts w:hint="eastAsia" w:ascii="仿宋" w:hAnsi="仿宋" w:eastAsia="仿宋" w:cs="仿宋"/>
              <w:sz w:val="28"/>
              <w:szCs w:val="28"/>
            </w:rPr>
            <w:t>116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466382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_Toc30854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34.4 留置或追加支付担保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_Toc30854 \h </w:instrText>
          </w:r>
          <w:r>
            <w:rPr>
              <w:rFonts w:hint="eastAsia" w:ascii="仿宋" w:hAnsi="仿宋" w:eastAsia="仿宋" w:cs="仿宋"/>
              <w:sz w:val="28"/>
              <w:szCs w:val="28"/>
            </w:rPr>
            <w:fldChar w:fldCharType="separate"/>
          </w:r>
          <w:r>
            <w:rPr>
              <w:rFonts w:hint="eastAsia" w:ascii="仿宋" w:hAnsi="仿宋" w:eastAsia="仿宋" w:cs="仿宋"/>
              <w:sz w:val="28"/>
              <w:szCs w:val="28"/>
            </w:rPr>
            <w:t>116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039456E">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_Toc16951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35.合同的生效、终止和解除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_Toc16951 \h </w:instrText>
          </w:r>
          <w:r>
            <w:rPr>
              <w:rFonts w:hint="eastAsia" w:ascii="仿宋" w:hAnsi="仿宋" w:eastAsia="仿宋" w:cs="仿宋"/>
              <w:sz w:val="28"/>
              <w:szCs w:val="28"/>
            </w:rPr>
            <w:fldChar w:fldCharType="separate"/>
          </w:r>
          <w:r>
            <w:rPr>
              <w:rFonts w:hint="eastAsia" w:ascii="仿宋" w:hAnsi="仿宋" w:eastAsia="仿宋" w:cs="仿宋"/>
              <w:sz w:val="28"/>
              <w:szCs w:val="28"/>
            </w:rPr>
            <w:t>117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E71880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_Toc11146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35.1合同的生效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_Toc11146 \h </w:instrText>
          </w:r>
          <w:r>
            <w:rPr>
              <w:rFonts w:hint="eastAsia" w:ascii="仿宋" w:hAnsi="仿宋" w:eastAsia="仿宋" w:cs="仿宋"/>
              <w:sz w:val="28"/>
              <w:szCs w:val="28"/>
            </w:rPr>
            <w:fldChar w:fldCharType="separate"/>
          </w:r>
          <w:r>
            <w:rPr>
              <w:rFonts w:hint="eastAsia" w:ascii="仿宋" w:hAnsi="仿宋" w:eastAsia="仿宋" w:cs="仿宋"/>
              <w:sz w:val="28"/>
              <w:szCs w:val="28"/>
            </w:rPr>
            <w:t>117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76C92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_Toc11405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35.2合同的终止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_Toc11405 \h </w:instrText>
          </w:r>
          <w:r>
            <w:rPr>
              <w:rFonts w:hint="eastAsia" w:ascii="仿宋" w:hAnsi="仿宋" w:eastAsia="仿宋" w:cs="仿宋"/>
              <w:sz w:val="28"/>
              <w:szCs w:val="28"/>
            </w:rPr>
            <w:fldChar w:fldCharType="separate"/>
          </w:r>
          <w:r>
            <w:rPr>
              <w:rFonts w:hint="eastAsia" w:ascii="仿宋" w:hAnsi="仿宋" w:eastAsia="仿宋" w:cs="仿宋"/>
              <w:sz w:val="28"/>
              <w:szCs w:val="28"/>
            </w:rPr>
            <w:t>117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A6399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_Toc510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35.3解除合同的情形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_Toc510 \h </w:instrText>
          </w:r>
          <w:r>
            <w:rPr>
              <w:rFonts w:hint="eastAsia" w:ascii="仿宋" w:hAnsi="仿宋" w:eastAsia="仿宋" w:cs="仿宋"/>
              <w:sz w:val="28"/>
              <w:szCs w:val="28"/>
            </w:rPr>
            <w:fldChar w:fldCharType="separate"/>
          </w:r>
          <w:r>
            <w:rPr>
              <w:rFonts w:hint="eastAsia" w:ascii="仿宋" w:hAnsi="仿宋" w:eastAsia="仿宋" w:cs="仿宋"/>
              <w:sz w:val="28"/>
              <w:szCs w:val="28"/>
            </w:rPr>
            <w:t>117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E5F0D6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35.4解除合同的程序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_Toc2545 \h </w:instrText>
          </w:r>
          <w:r>
            <w:rPr>
              <w:rFonts w:hint="eastAsia" w:ascii="仿宋" w:hAnsi="仿宋" w:eastAsia="仿宋" w:cs="仿宋"/>
              <w:sz w:val="28"/>
              <w:szCs w:val="28"/>
            </w:rPr>
            <w:fldChar w:fldCharType="separate"/>
          </w:r>
          <w:r>
            <w:rPr>
              <w:rFonts w:hint="eastAsia" w:ascii="仿宋" w:hAnsi="仿宋" w:eastAsia="仿宋" w:cs="仿宋"/>
              <w:sz w:val="28"/>
              <w:szCs w:val="28"/>
            </w:rPr>
            <w:t>117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905CF9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_Toc25654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36.合同份数与合同备案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_Toc25654 \h </w:instrText>
          </w:r>
          <w:r>
            <w:rPr>
              <w:rFonts w:hint="eastAsia" w:ascii="仿宋" w:hAnsi="仿宋" w:eastAsia="仿宋" w:cs="仿宋"/>
              <w:sz w:val="28"/>
              <w:szCs w:val="28"/>
            </w:rPr>
            <w:fldChar w:fldCharType="separate"/>
          </w:r>
          <w:r>
            <w:rPr>
              <w:rFonts w:hint="eastAsia" w:ascii="仿宋" w:hAnsi="仿宋" w:eastAsia="仿宋" w:cs="仿宋"/>
              <w:sz w:val="28"/>
              <w:szCs w:val="28"/>
            </w:rPr>
            <w:t>118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394711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_Toc7740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36.1合同份数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_Toc7740 \h </w:instrText>
          </w:r>
          <w:r>
            <w:rPr>
              <w:rFonts w:hint="eastAsia" w:ascii="仿宋" w:hAnsi="仿宋" w:eastAsia="仿宋" w:cs="仿宋"/>
              <w:sz w:val="28"/>
              <w:szCs w:val="28"/>
            </w:rPr>
            <w:fldChar w:fldCharType="separate"/>
          </w:r>
          <w:r>
            <w:rPr>
              <w:rFonts w:hint="eastAsia" w:ascii="仿宋" w:hAnsi="仿宋" w:eastAsia="仿宋" w:cs="仿宋"/>
              <w:sz w:val="28"/>
              <w:szCs w:val="28"/>
            </w:rPr>
            <w:t>118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9D750F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_Toc30743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36.2合同备案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_Toc30743 \h </w:instrText>
          </w:r>
          <w:r>
            <w:rPr>
              <w:rFonts w:hint="eastAsia" w:ascii="仿宋" w:hAnsi="仿宋" w:eastAsia="仿宋" w:cs="仿宋"/>
              <w:sz w:val="28"/>
              <w:szCs w:val="28"/>
            </w:rPr>
            <w:fldChar w:fldCharType="separate"/>
          </w:r>
          <w:r>
            <w:rPr>
              <w:rFonts w:hint="eastAsia" w:ascii="仿宋" w:hAnsi="仿宋" w:eastAsia="仿宋" w:cs="仿宋"/>
              <w:sz w:val="28"/>
              <w:szCs w:val="28"/>
            </w:rPr>
            <w:t>118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1B61DBD">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_Toc27499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第三部分  专用条款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_Toc27499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00FA90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_Toc1202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 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_Toc1202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8AFBE0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_Toc15687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 合同文件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_Toc15687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FB60A8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_Toc11194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 书面形式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_Toc11194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1CC062E">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_Toc26494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 一般约定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_Toc26494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9D192D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_Toc28612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 法律、法规和规章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_Toc28612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0EAE74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_Toc29037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2.5标准、规范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_Toc29037 \h </w:instrText>
          </w:r>
          <w:r>
            <w:rPr>
              <w:rFonts w:hint="eastAsia" w:ascii="仿宋" w:hAnsi="仿宋" w:eastAsia="仿宋" w:cs="仿宋"/>
              <w:sz w:val="28"/>
              <w:szCs w:val="28"/>
            </w:rPr>
            <w:fldChar w:fldCharType="separate"/>
          </w:r>
          <w:r>
            <w:rPr>
              <w:rFonts w:hint="eastAsia" w:ascii="仿宋" w:hAnsi="仿宋" w:eastAsia="仿宋" w:cs="仿宋"/>
              <w:sz w:val="28"/>
              <w:szCs w:val="28"/>
            </w:rPr>
            <w:t>119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38739A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_Toc30066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2.6图纸和技术资料的提供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_Toc30066 \h </w:instrText>
          </w:r>
          <w:r>
            <w:rPr>
              <w:rFonts w:hint="eastAsia" w:ascii="仿宋" w:hAnsi="仿宋" w:eastAsia="仿宋" w:cs="仿宋"/>
              <w:sz w:val="28"/>
              <w:szCs w:val="28"/>
            </w:rPr>
            <w:fldChar w:fldCharType="separate"/>
          </w:r>
          <w:r>
            <w:rPr>
              <w:rFonts w:hint="eastAsia" w:ascii="仿宋" w:hAnsi="仿宋" w:eastAsia="仿宋" w:cs="仿宋"/>
              <w:sz w:val="28"/>
              <w:szCs w:val="28"/>
            </w:rPr>
            <w:t>120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4A4156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2.8补充图纸和资料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_Toc1306 \h </w:instrText>
          </w:r>
          <w:r>
            <w:rPr>
              <w:rFonts w:hint="eastAsia" w:ascii="仿宋" w:hAnsi="仿宋" w:eastAsia="仿宋" w:cs="仿宋"/>
              <w:sz w:val="28"/>
              <w:szCs w:val="28"/>
            </w:rPr>
            <w:fldChar w:fldCharType="separate"/>
          </w:r>
          <w:r>
            <w:rPr>
              <w:rFonts w:hint="eastAsia" w:ascii="仿宋" w:hAnsi="仿宋" w:eastAsia="仿宋" w:cs="仿宋"/>
              <w:sz w:val="28"/>
              <w:szCs w:val="28"/>
            </w:rPr>
            <w:t>120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AA5298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_Toc7918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2.10 竣工图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_Toc7918 \h </w:instrText>
          </w:r>
          <w:r>
            <w:rPr>
              <w:rFonts w:hint="eastAsia" w:ascii="仿宋" w:hAnsi="仿宋" w:eastAsia="仿宋" w:cs="仿宋"/>
              <w:sz w:val="28"/>
              <w:szCs w:val="28"/>
            </w:rPr>
            <w:fldChar w:fldCharType="separate"/>
          </w:r>
          <w:r>
            <w:rPr>
              <w:rFonts w:hint="eastAsia" w:ascii="仿宋" w:hAnsi="仿宋" w:eastAsia="仿宋" w:cs="仿宋"/>
              <w:sz w:val="28"/>
              <w:szCs w:val="28"/>
            </w:rPr>
            <w:t>120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EE5C1C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_Toc25402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2.11 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_Toc25402 \h </w:instrText>
          </w:r>
          <w:r>
            <w:rPr>
              <w:rFonts w:hint="eastAsia" w:ascii="仿宋" w:hAnsi="仿宋" w:eastAsia="仿宋" w:cs="仿宋"/>
              <w:sz w:val="28"/>
              <w:szCs w:val="28"/>
            </w:rPr>
            <w:fldChar w:fldCharType="separate"/>
          </w:r>
          <w:r>
            <w:rPr>
              <w:rFonts w:hint="eastAsia" w:ascii="仿宋" w:hAnsi="仿宋" w:eastAsia="仿宋" w:cs="仿宋"/>
              <w:sz w:val="28"/>
              <w:szCs w:val="28"/>
            </w:rPr>
            <w:t>120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02CD5A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_Toc23663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2.13 交通运输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_Toc23663 \h </w:instrText>
          </w:r>
          <w:r>
            <w:rPr>
              <w:rFonts w:hint="eastAsia" w:ascii="仿宋" w:hAnsi="仿宋" w:eastAsia="仿宋" w:cs="仿宋"/>
              <w:sz w:val="28"/>
              <w:szCs w:val="28"/>
            </w:rPr>
            <w:fldChar w:fldCharType="separate"/>
          </w:r>
          <w:r>
            <w:rPr>
              <w:rFonts w:hint="eastAsia" w:ascii="仿宋" w:hAnsi="仿宋" w:eastAsia="仿宋" w:cs="仿宋"/>
              <w:sz w:val="28"/>
              <w:szCs w:val="28"/>
            </w:rPr>
            <w:t>121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5A52EE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_Toc27704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2.15 BIM实施应用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_Toc27704 \h </w:instrText>
          </w:r>
          <w:r>
            <w:rPr>
              <w:rFonts w:hint="eastAsia" w:ascii="仿宋" w:hAnsi="仿宋" w:eastAsia="仿宋" w:cs="仿宋"/>
              <w:sz w:val="28"/>
              <w:szCs w:val="28"/>
            </w:rPr>
            <w:fldChar w:fldCharType="separate"/>
          </w:r>
          <w:r>
            <w:rPr>
              <w:rFonts w:hint="eastAsia" w:ascii="仿宋" w:hAnsi="仿宋" w:eastAsia="仿宋" w:cs="仿宋"/>
              <w:sz w:val="28"/>
              <w:szCs w:val="28"/>
            </w:rPr>
            <w:t>121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3681BA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_Toc8595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2.16 知识产权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_Toc8595 \h </w:instrText>
          </w:r>
          <w:r>
            <w:rPr>
              <w:rFonts w:hint="eastAsia" w:ascii="仿宋" w:hAnsi="仿宋" w:eastAsia="仿宋" w:cs="仿宋"/>
              <w:sz w:val="28"/>
              <w:szCs w:val="28"/>
            </w:rPr>
            <w:fldChar w:fldCharType="separate"/>
          </w:r>
          <w:r>
            <w:rPr>
              <w:rFonts w:hint="eastAsia" w:ascii="仿宋" w:hAnsi="仿宋" w:eastAsia="仿宋" w:cs="仿宋"/>
              <w:sz w:val="28"/>
              <w:szCs w:val="28"/>
            </w:rPr>
            <w:t>122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CC29BDF">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_Toc3731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 发包人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_Toc3731 \h </w:instrText>
          </w:r>
          <w:r>
            <w:rPr>
              <w:rFonts w:hint="eastAsia" w:ascii="仿宋" w:hAnsi="仿宋" w:eastAsia="仿宋" w:cs="仿宋"/>
              <w:sz w:val="28"/>
              <w:szCs w:val="28"/>
            </w:rPr>
            <w:fldChar w:fldCharType="separate"/>
          </w:r>
          <w:r>
            <w:rPr>
              <w:rFonts w:hint="eastAsia" w:ascii="仿宋" w:hAnsi="仿宋" w:eastAsia="仿宋" w:cs="仿宋"/>
              <w:sz w:val="28"/>
              <w:szCs w:val="28"/>
            </w:rPr>
            <w:t>122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A09B3B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_Toc11984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3.1 发包人代表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_Toc11984 \h </w:instrText>
          </w:r>
          <w:r>
            <w:rPr>
              <w:rFonts w:hint="eastAsia" w:ascii="仿宋" w:hAnsi="仿宋" w:eastAsia="仿宋" w:cs="仿宋"/>
              <w:sz w:val="28"/>
              <w:szCs w:val="28"/>
            </w:rPr>
            <w:fldChar w:fldCharType="separate"/>
          </w:r>
          <w:r>
            <w:rPr>
              <w:rFonts w:hint="eastAsia" w:ascii="仿宋" w:hAnsi="仿宋" w:eastAsia="仿宋" w:cs="仿宋"/>
              <w:sz w:val="28"/>
              <w:szCs w:val="28"/>
            </w:rPr>
            <w:t>122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66BE6F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_Toc11535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3.4 发包人的工作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_Toc11535 \h </w:instrText>
          </w:r>
          <w:r>
            <w:rPr>
              <w:rFonts w:hint="eastAsia" w:ascii="仿宋" w:hAnsi="仿宋" w:eastAsia="仿宋" w:cs="仿宋"/>
              <w:sz w:val="28"/>
              <w:szCs w:val="28"/>
            </w:rPr>
            <w:fldChar w:fldCharType="separate"/>
          </w:r>
          <w:r>
            <w:rPr>
              <w:rFonts w:hint="eastAsia" w:ascii="仿宋" w:hAnsi="仿宋" w:eastAsia="仿宋" w:cs="仿宋"/>
              <w:sz w:val="28"/>
              <w:szCs w:val="28"/>
            </w:rPr>
            <w:t>122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F55584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_Toc5978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3.5 发包人委托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_Toc5978 \h </w:instrText>
          </w:r>
          <w:r>
            <w:rPr>
              <w:rFonts w:hint="eastAsia" w:ascii="仿宋" w:hAnsi="仿宋" w:eastAsia="仿宋" w:cs="仿宋"/>
              <w:sz w:val="28"/>
              <w:szCs w:val="28"/>
            </w:rPr>
            <w:fldChar w:fldCharType="separate"/>
          </w:r>
          <w:r>
            <w:rPr>
              <w:rFonts w:hint="eastAsia" w:ascii="仿宋" w:hAnsi="仿宋" w:eastAsia="仿宋" w:cs="仿宋"/>
              <w:sz w:val="28"/>
              <w:szCs w:val="28"/>
            </w:rPr>
            <w:t>123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A193859">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_Toc25487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4 承包人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_Toc25487 \h </w:instrText>
          </w:r>
          <w:r>
            <w:rPr>
              <w:rFonts w:hint="eastAsia" w:ascii="仿宋" w:hAnsi="仿宋" w:eastAsia="仿宋" w:cs="仿宋"/>
              <w:sz w:val="28"/>
              <w:szCs w:val="28"/>
            </w:rPr>
            <w:fldChar w:fldCharType="separate"/>
          </w:r>
          <w:r>
            <w:rPr>
              <w:rFonts w:hint="eastAsia" w:ascii="仿宋" w:hAnsi="仿宋" w:eastAsia="仿宋" w:cs="仿宋"/>
              <w:sz w:val="28"/>
              <w:szCs w:val="28"/>
            </w:rPr>
            <w:t>123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F45AF6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_Toc28450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4.2 承包人的工作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_Toc28450 \h </w:instrText>
          </w:r>
          <w:r>
            <w:rPr>
              <w:rFonts w:hint="eastAsia" w:ascii="仿宋" w:hAnsi="仿宋" w:eastAsia="仿宋" w:cs="仿宋"/>
              <w:sz w:val="28"/>
              <w:szCs w:val="28"/>
            </w:rPr>
            <w:fldChar w:fldCharType="separate"/>
          </w:r>
          <w:r>
            <w:rPr>
              <w:rFonts w:hint="eastAsia" w:ascii="仿宋" w:hAnsi="仿宋" w:eastAsia="仿宋" w:cs="仿宋"/>
              <w:sz w:val="28"/>
              <w:szCs w:val="28"/>
            </w:rPr>
            <w:t>123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A43F6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_Toc1931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4.3项目经理的任命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_Toc1931 \h </w:instrText>
          </w:r>
          <w:r>
            <w:rPr>
              <w:rFonts w:hint="eastAsia" w:ascii="仿宋" w:hAnsi="仿宋" w:eastAsia="仿宋" w:cs="仿宋"/>
              <w:sz w:val="28"/>
              <w:szCs w:val="28"/>
            </w:rPr>
            <w:fldChar w:fldCharType="separate"/>
          </w:r>
          <w:r>
            <w:rPr>
              <w:rFonts w:hint="eastAsia" w:ascii="仿宋" w:hAnsi="仿宋" w:eastAsia="仿宋" w:cs="仿宋"/>
              <w:sz w:val="28"/>
              <w:szCs w:val="28"/>
            </w:rPr>
            <w:t>123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553BE4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_Toc10712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4.4 项目经理的更换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_Toc10712 \h </w:instrText>
          </w:r>
          <w:r>
            <w:rPr>
              <w:rFonts w:hint="eastAsia" w:ascii="仿宋" w:hAnsi="仿宋" w:eastAsia="仿宋" w:cs="仿宋"/>
              <w:sz w:val="28"/>
              <w:szCs w:val="28"/>
            </w:rPr>
            <w:fldChar w:fldCharType="separate"/>
          </w:r>
          <w:r>
            <w:rPr>
              <w:rFonts w:hint="eastAsia" w:ascii="仿宋" w:hAnsi="仿宋" w:eastAsia="仿宋" w:cs="仿宋"/>
              <w:sz w:val="28"/>
              <w:szCs w:val="28"/>
            </w:rPr>
            <w:t>124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94965E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_Toc27016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4.6 施工管理人员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_Toc27016 \h </w:instrText>
          </w:r>
          <w:r>
            <w:rPr>
              <w:rFonts w:hint="eastAsia" w:ascii="仿宋" w:hAnsi="仿宋" w:eastAsia="仿宋" w:cs="仿宋"/>
              <w:sz w:val="28"/>
              <w:szCs w:val="28"/>
            </w:rPr>
            <w:fldChar w:fldCharType="separate"/>
          </w:r>
          <w:r>
            <w:rPr>
              <w:rFonts w:hint="eastAsia" w:ascii="仿宋" w:hAnsi="仿宋" w:eastAsia="仿宋" w:cs="仿宋"/>
              <w:sz w:val="28"/>
              <w:szCs w:val="28"/>
            </w:rPr>
            <w:t>124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D217F1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_Toc15139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4.7联合体承包人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_Toc15139 \h </w:instrText>
          </w:r>
          <w:r>
            <w:rPr>
              <w:rFonts w:hint="eastAsia" w:ascii="仿宋" w:hAnsi="仿宋" w:eastAsia="仿宋" w:cs="仿宋"/>
              <w:sz w:val="28"/>
              <w:szCs w:val="28"/>
            </w:rPr>
            <w:fldChar w:fldCharType="separate"/>
          </w:r>
          <w:r>
            <w:rPr>
              <w:rFonts w:hint="eastAsia" w:ascii="仿宋" w:hAnsi="仿宋" w:eastAsia="仿宋" w:cs="仿宋"/>
              <w:sz w:val="28"/>
              <w:szCs w:val="28"/>
            </w:rPr>
            <w:t>125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8362A0A">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_Toc18171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5 监理人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_Toc18171 \h </w:instrText>
          </w:r>
          <w:r>
            <w:rPr>
              <w:rFonts w:hint="eastAsia" w:ascii="仿宋" w:hAnsi="仿宋" w:eastAsia="仿宋" w:cs="仿宋"/>
              <w:sz w:val="28"/>
              <w:szCs w:val="28"/>
            </w:rPr>
            <w:fldChar w:fldCharType="separate"/>
          </w:r>
          <w:r>
            <w:rPr>
              <w:rFonts w:hint="eastAsia" w:ascii="仿宋" w:hAnsi="仿宋" w:eastAsia="仿宋" w:cs="仿宋"/>
              <w:sz w:val="28"/>
              <w:szCs w:val="28"/>
            </w:rPr>
            <w:t>125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1FC57C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_Toc18793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5.1 监理人的通知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_Toc18793 \h </w:instrText>
          </w:r>
          <w:r>
            <w:rPr>
              <w:rFonts w:hint="eastAsia" w:ascii="仿宋" w:hAnsi="仿宋" w:eastAsia="仿宋" w:cs="仿宋"/>
              <w:sz w:val="28"/>
              <w:szCs w:val="28"/>
            </w:rPr>
            <w:fldChar w:fldCharType="separate"/>
          </w:r>
          <w:r>
            <w:rPr>
              <w:rFonts w:hint="eastAsia" w:ascii="仿宋" w:hAnsi="仿宋" w:eastAsia="仿宋" w:cs="仿宋"/>
              <w:sz w:val="28"/>
              <w:szCs w:val="28"/>
            </w:rPr>
            <w:t>125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265EF3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_Toc6258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5.3监理人权力的限制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_Toc6258 \h </w:instrText>
          </w:r>
          <w:r>
            <w:rPr>
              <w:rFonts w:hint="eastAsia" w:ascii="仿宋" w:hAnsi="仿宋" w:eastAsia="仿宋" w:cs="仿宋"/>
              <w:sz w:val="28"/>
              <w:szCs w:val="28"/>
            </w:rPr>
            <w:fldChar w:fldCharType="separate"/>
          </w:r>
          <w:r>
            <w:rPr>
              <w:rFonts w:hint="eastAsia" w:ascii="仿宋" w:hAnsi="仿宋" w:eastAsia="仿宋" w:cs="仿宋"/>
              <w:sz w:val="28"/>
              <w:szCs w:val="28"/>
            </w:rPr>
            <w:t>125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D22410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_Toc4044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6 转让、分包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_Toc4044 \h </w:instrText>
          </w:r>
          <w:r>
            <w:rPr>
              <w:rFonts w:hint="eastAsia" w:ascii="仿宋" w:hAnsi="仿宋" w:eastAsia="仿宋" w:cs="仿宋"/>
              <w:sz w:val="28"/>
              <w:szCs w:val="28"/>
            </w:rPr>
            <w:fldChar w:fldCharType="separate"/>
          </w:r>
          <w:r>
            <w:rPr>
              <w:rFonts w:hint="eastAsia" w:ascii="仿宋" w:hAnsi="仿宋" w:eastAsia="仿宋" w:cs="仿宋"/>
              <w:sz w:val="28"/>
              <w:szCs w:val="28"/>
            </w:rPr>
            <w:t>125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095989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6.1 转让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 \h </w:instrText>
          </w:r>
          <w:r>
            <w:rPr>
              <w:rFonts w:hint="eastAsia" w:ascii="仿宋" w:hAnsi="仿宋" w:eastAsia="仿宋" w:cs="仿宋"/>
              <w:sz w:val="28"/>
              <w:szCs w:val="28"/>
            </w:rPr>
            <w:fldChar w:fldCharType="separate"/>
          </w:r>
          <w:r>
            <w:rPr>
              <w:rFonts w:hint="eastAsia" w:ascii="仿宋" w:hAnsi="仿宋" w:eastAsia="仿宋" w:cs="仿宋"/>
              <w:sz w:val="28"/>
              <w:szCs w:val="28"/>
            </w:rPr>
            <w:t>125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51712F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_Toc12638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6.2 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_Toc12638 \h </w:instrText>
          </w:r>
          <w:r>
            <w:rPr>
              <w:rFonts w:hint="eastAsia" w:ascii="仿宋" w:hAnsi="仿宋" w:eastAsia="仿宋" w:cs="仿宋"/>
              <w:sz w:val="28"/>
              <w:szCs w:val="28"/>
            </w:rPr>
            <w:fldChar w:fldCharType="separate"/>
          </w:r>
          <w:r>
            <w:rPr>
              <w:rFonts w:hint="eastAsia" w:ascii="仿宋" w:hAnsi="仿宋" w:eastAsia="仿宋" w:cs="仿宋"/>
              <w:sz w:val="28"/>
              <w:szCs w:val="28"/>
            </w:rPr>
            <w:t>126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B12B5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_Toc23660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6.3 分包人的确定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_Toc23660 \h </w:instrText>
          </w:r>
          <w:r>
            <w:rPr>
              <w:rFonts w:hint="eastAsia" w:ascii="仿宋" w:hAnsi="仿宋" w:eastAsia="仿宋" w:cs="仿宋"/>
              <w:sz w:val="28"/>
              <w:szCs w:val="28"/>
            </w:rPr>
            <w:fldChar w:fldCharType="separate"/>
          </w:r>
          <w:r>
            <w:rPr>
              <w:rFonts w:hint="eastAsia" w:ascii="仿宋" w:hAnsi="仿宋" w:eastAsia="仿宋" w:cs="仿宋"/>
              <w:sz w:val="28"/>
              <w:szCs w:val="28"/>
            </w:rPr>
            <w:t>126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54064D8">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_Toc3727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7 专业工程发包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_Toc3727 \h </w:instrText>
          </w:r>
          <w:r>
            <w:rPr>
              <w:rFonts w:hint="eastAsia" w:ascii="仿宋" w:hAnsi="仿宋" w:eastAsia="仿宋" w:cs="仿宋"/>
              <w:sz w:val="28"/>
              <w:szCs w:val="28"/>
            </w:rPr>
            <w:fldChar w:fldCharType="separate"/>
          </w:r>
          <w:r>
            <w:rPr>
              <w:rFonts w:hint="eastAsia" w:ascii="仿宋" w:hAnsi="仿宋" w:eastAsia="仿宋" w:cs="仿宋"/>
              <w:sz w:val="28"/>
              <w:szCs w:val="28"/>
            </w:rPr>
            <w:t>126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8B104F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_Toc28400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7.1 专业工程承包人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_Toc28400 \h </w:instrText>
          </w:r>
          <w:r>
            <w:rPr>
              <w:rFonts w:hint="eastAsia" w:ascii="仿宋" w:hAnsi="仿宋" w:eastAsia="仿宋" w:cs="仿宋"/>
              <w:sz w:val="28"/>
              <w:szCs w:val="28"/>
            </w:rPr>
            <w:fldChar w:fldCharType="separate"/>
          </w:r>
          <w:r>
            <w:rPr>
              <w:rFonts w:hint="eastAsia" w:ascii="仿宋" w:hAnsi="仿宋" w:eastAsia="仿宋" w:cs="仿宋"/>
              <w:sz w:val="28"/>
              <w:szCs w:val="28"/>
            </w:rPr>
            <w:t>126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DB0A45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_Toc30558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7.2 总承包服务费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_Toc30558 \h </w:instrText>
          </w:r>
          <w:r>
            <w:rPr>
              <w:rFonts w:hint="eastAsia" w:ascii="仿宋" w:hAnsi="仿宋" w:eastAsia="仿宋" w:cs="仿宋"/>
              <w:sz w:val="28"/>
              <w:szCs w:val="28"/>
            </w:rPr>
            <w:fldChar w:fldCharType="separate"/>
          </w:r>
          <w:r>
            <w:rPr>
              <w:rFonts w:hint="eastAsia" w:ascii="仿宋" w:hAnsi="仿宋" w:eastAsia="仿宋" w:cs="仿宋"/>
              <w:sz w:val="28"/>
              <w:szCs w:val="28"/>
            </w:rPr>
            <w:t>127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33D66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_Toc30613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7.3 工作界面协调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_Toc30613 \h </w:instrText>
          </w:r>
          <w:r>
            <w:rPr>
              <w:rFonts w:hint="eastAsia" w:ascii="仿宋" w:hAnsi="仿宋" w:eastAsia="仿宋" w:cs="仿宋"/>
              <w:sz w:val="28"/>
              <w:szCs w:val="28"/>
            </w:rPr>
            <w:fldChar w:fldCharType="separate"/>
          </w:r>
          <w:r>
            <w:rPr>
              <w:rFonts w:hint="eastAsia" w:ascii="仿宋" w:hAnsi="仿宋" w:eastAsia="仿宋" w:cs="仿宋"/>
              <w:sz w:val="28"/>
              <w:szCs w:val="28"/>
            </w:rPr>
            <w:t>127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D90D2F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_Toc10206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8 用工和劳务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_Toc10206 \h </w:instrText>
          </w:r>
          <w:r>
            <w:rPr>
              <w:rFonts w:hint="eastAsia" w:ascii="仿宋" w:hAnsi="仿宋" w:eastAsia="仿宋" w:cs="仿宋"/>
              <w:sz w:val="28"/>
              <w:szCs w:val="28"/>
            </w:rPr>
            <w:fldChar w:fldCharType="separate"/>
          </w:r>
          <w:r>
            <w:rPr>
              <w:rFonts w:hint="eastAsia" w:ascii="仿宋" w:hAnsi="仿宋" w:eastAsia="仿宋" w:cs="仿宋"/>
              <w:sz w:val="28"/>
              <w:szCs w:val="28"/>
            </w:rPr>
            <w:t>127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65D4ED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_Toc19433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8.1 劳动合同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_Toc19433 \h </w:instrText>
          </w:r>
          <w:r>
            <w:rPr>
              <w:rFonts w:hint="eastAsia" w:ascii="仿宋" w:hAnsi="仿宋" w:eastAsia="仿宋" w:cs="仿宋"/>
              <w:sz w:val="28"/>
              <w:szCs w:val="28"/>
            </w:rPr>
            <w:fldChar w:fldCharType="separate"/>
          </w:r>
          <w:r>
            <w:rPr>
              <w:rFonts w:hint="eastAsia" w:ascii="仿宋" w:hAnsi="仿宋" w:eastAsia="仿宋" w:cs="仿宋"/>
              <w:sz w:val="28"/>
              <w:szCs w:val="28"/>
            </w:rPr>
            <w:t>127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6DF31F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_Toc13857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8.2 劳务分包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_Toc13857 \h </w:instrText>
          </w:r>
          <w:r>
            <w:rPr>
              <w:rFonts w:hint="eastAsia" w:ascii="仿宋" w:hAnsi="仿宋" w:eastAsia="仿宋" w:cs="仿宋"/>
              <w:sz w:val="28"/>
              <w:szCs w:val="28"/>
            </w:rPr>
            <w:fldChar w:fldCharType="separate"/>
          </w:r>
          <w:r>
            <w:rPr>
              <w:rFonts w:hint="eastAsia" w:ascii="仿宋" w:hAnsi="仿宋" w:eastAsia="仿宋" w:cs="仿宋"/>
              <w:sz w:val="28"/>
              <w:szCs w:val="28"/>
            </w:rPr>
            <w:t>127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687407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_Toc20204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8.3 劳务分包合同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_Toc20204 \h </w:instrText>
          </w:r>
          <w:r>
            <w:rPr>
              <w:rFonts w:hint="eastAsia" w:ascii="仿宋" w:hAnsi="仿宋" w:eastAsia="仿宋" w:cs="仿宋"/>
              <w:sz w:val="28"/>
              <w:szCs w:val="28"/>
            </w:rPr>
            <w:fldChar w:fldCharType="separate"/>
          </w:r>
          <w:r>
            <w:rPr>
              <w:rFonts w:hint="eastAsia" w:ascii="仿宋" w:hAnsi="仿宋" w:eastAsia="仿宋" w:cs="仿宋"/>
              <w:sz w:val="28"/>
              <w:szCs w:val="28"/>
            </w:rPr>
            <w:t>127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A29736A">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_Toc31718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9 施工组织设计和进度计划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_Toc31718 \h </w:instrText>
          </w:r>
          <w:r>
            <w:rPr>
              <w:rFonts w:hint="eastAsia" w:ascii="仿宋" w:hAnsi="仿宋" w:eastAsia="仿宋" w:cs="仿宋"/>
              <w:sz w:val="28"/>
              <w:szCs w:val="28"/>
            </w:rPr>
            <w:fldChar w:fldCharType="separate"/>
          </w:r>
          <w:r>
            <w:rPr>
              <w:rFonts w:hint="eastAsia" w:ascii="仿宋" w:hAnsi="仿宋" w:eastAsia="仿宋" w:cs="仿宋"/>
              <w:sz w:val="28"/>
              <w:szCs w:val="28"/>
            </w:rPr>
            <w:t>128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E11606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_Toc17107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9.1 施工组织设计和进度计划的编制与提交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_Toc17107 \h </w:instrText>
          </w:r>
          <w:r>
            <w:rPr>
              <w:rFonts w:hint="eastAsia" w:ascii="仿宋" w:hAnsi="仿宋" w:eastAsia="仿宋" w:cs="仿宋"/>
              <w:sz w:val="28"/>
              <w:szCs w:val="28"/>
            </w:rPr>
            <w:fldChar w:fldCharType="separate"/>
          </w:r>
          <w:r>
            <w:rPr>
              <w:rFonts w:hint="eastAsia" w:ascii="仿宋" w:hAnsi="仿宋" w:eastAsia="仿宋" w:cs="仿宋"/>
              <w:sz w:val="28"/>
              <w:szCs w:val="28"/>
            </w:rPr>
            <w:t>128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6CBBC2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_Toc10412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9.4 工程用款计划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_Toc10412 \h </w:instrText>
          </w:r>
          <w:r>
            <w:rPr>
              <w:rFonts w:hint="eastAsia" w:ascii="仿宋" w:hAnsi="仿宋" w:eastAsia="仿宋" w:cs="仿宋"/>
              <w:sz w:val="28"/>
              <w:szCs w:val="28"/>
            </w:rPr>
            <w:fldChar w:fldCharType="separate"/>
          </w:r>
          <w:r>
            <w:rPr>
              <w:rFonts w:hint="eastAsia" w:ascii="仿宋" w:hAnsi="仿宋" w:eastAsia="仿宋" w:cs="仿宋"/>
              <w:sz w:val="28"/>
              <w:szCs w:val="28"/>
            </w:rPr>
            <w:t>129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76046D7">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_Toc6839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10 施工准备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_Toc6839 \h </w:instrText>
          </w:r>
          <w:r>
            <w:rPr>
              <w:rFonts w:hint="eastAsia" w:ascii="仿宋" w:hAnsi="仿宋" w:eastAsia="仿宋" w:cs="仿宋"/>
              <w:sz w:val="28"/>
              <w:szCs w:val="28"/>
            </w:rPr>
            <w:fldChar w:fldCharType="separate"/>
          </w:r>
          <w:r>
            <w:rPr>
              <w:rFonts w:hint="eastAsia" w:ascii="仿宋" w:hAnsi="仿宋" w:eastAsia="仿宋" w:cs="仿宋"/>
              <w:sz w:val="28"/>
              <w:szCs w:val="28"/>
            </w:rPr>
            <w:t>129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509BA1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_Toc8067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10.2 施工场地提供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_Toc8067 \h </w:instrText>
          </w:r>
          <w:r>
            <w:rPr>
              <w:rFonts w:hint="eastAsia" w:ascii="仿宋" w:hAnsi="仿宋" w:eastAsia="仿宋" w:cs="仿宋"/>
              <w:sz w:val="28"/>
              <w:szCs w:val="28"/>
            </w:rPr>
            <w:fldChar w:fldCharType="separate"/>
          </w:r>
          <w:r>
            <w:rPr>
              <w:rFonts w:hint="eastAsia" w:ascii="仿宋" w:hAnsi="仿宋" w:eastAsia="仿宋" w:cs="仿宋"/>
              <w:sz w:val="28"/>
              <w:szCs w:val="28"/>
            </w:rPr>
            <w:t>129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755658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_Toc28482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10.6 不利的外界障碍或条件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_Toc28482 \h </w:instrText>
          </w:r>
          <w:r>
            <w:rPr>
              <w:rFonts w:hint="eastAsia" w:ascii="仿宋" w:hAnsi="仿宋" w:eastAsia="仿宋" w:cs="仿宋"/>
              <w:sz w:val="28"/>
              <w:szCs w:val="28"/>
            </w:rPr>
            <w:fldChar w:fldCharType="separate"/>
          </w:r>
          <w:r>
            <w:rPr>
              <w:rFonts w:hint="eastAsia" w:ascii="仿宋" w:hAnsi="仿宋" w:eastAsia="仿宋" w:cs="仿宋"/>
              <w:sz w:val="28"/>
              <w:szCs w:val="28"/>
            </w:rPr>
            <w:t>130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0B7F287">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_Toc22733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12 暂停施工和恢复施工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_Toc22733 \h </w:instrText>
          </w:r>
          <w:r>
            <w:rPr>
              <w:rFonts w:hint="eastAsia" w:ascii="仿宋" w:hAnsi="仿宋" w:eastAsia="仿宋" w:cs="仿宋"/>
              <w:sz w:val="28"/>
              <w:szCs w:val="28"/>
            </w:rPr>
            <w:fldChar w:fldCharType="separate"/>
          </w:r>
          <w:r>
            <w:rPr>
              <w:rFonts w:hint="eastAsia" w:ascii="仿宋" w:hAnsi="仿宋" w:eastAsia="仿宋" w:cs="仿宋"/>
              <w:sz w:val="28"/>
              <w:szCs w:val="28"/>
            </w:rPr>
            <w:t>130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52B92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_Toc30790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12.2 承包人原因引起的暂停施工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_Toc30790 \h </w:instrText>
          </w:r>
          <w:r>
            <w:rPr>
              <w:rFonts w:hint="eastAsia" w:ascii="仿宋" w:hAnsi="仿宋" w:eastAsia="仿宋" w:cs="仿宋"/>
              <w:sz w:val="28"/>
              <w:szCs w:val="28"/>
            </w:rPr>
            <w:fldChar w:fldCharType="separate"/>
          </w:r>
          <w:r>
            <w:rPr>
              <w:rFonts w:hint="eastAsia" w:ascii="仿宋" w:hAnsi="仿宋" w:eastAsia="仿宋" w:cs="仿宋"/>
              <w:sz w:val="28"/>
              <w:szCs w:val="28"/>
            </w:rPr>
            <w:t>130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4D4658A">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_Toc4666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13 工期及延误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_Toc4666 \h </w:instrText>
          </w:r>
          <w:r>
            <w:rPr>
              <w:rFonts w:hint="eastAsia" w:ascii="仿宋" w:hAnsi="仿宋" w:eastAsia="仿宋" w:cs="仿宋"/>
              <w:sz w:val="28"/>
              <w:szCs w:val="28"/>
            </w:rPr>
            <w:fldChar w:fldCharType="separate"/>
          </w:r>
          <w:r>
            <w:rPr>
              <w:rFonts w:hint="eastAsia" w:ascii="仿宋" w:hAnsi="仿宋" w:eastAsia="仿宋" w:cs="仿宋"/>
              <w:sz w:val="28"/>
              <w:szCs w:val="28"/>
            </w:rPr>
            <w:t>130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7A8AB2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_Toc30005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13.1 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_Toc30005 \h </w:instrText>
          </w:r>
          <w:r>
            <w:rPr>
              <w:rFonts w:hint="eastAsia" w:ascii="仿宋" w:hAnsi="仿宋" w:eastAsia="仿宋" w:cs="仿宋"/>
              <w:sz w:val="28"/>
              <w:szCs w:val="28"/>
            </w:rPr>
            <w:fldChar w:fldCharType="separate"/>
          </w:r>
          <w:r>
            <w:rPr>
              <w:rFonts w:hint="eastAsia" w:ascii="仿宋" w:hAnsi="仿宋" w:eastAsia="仿宋" w:cs="仿宋"/>
              <w:sz w:val="28"/>
              <w:szCs w:val="28"/>
            </w:rPr>
            <w:t>130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B14378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_Toc11247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13.2 因发包人原因导致工期延误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_Toc11247 \h </w:instrText>
          </w:r>
          <w:r>
            <w:rPr>
              <w:rFonts w:hint="eastAsia" w:ascii="仿宋" w:hAnsi="仿宋" w:eastAsia="仿宋" w:cs="仿宋"/>
              <w:sz w:val="28"/>
              <w:szCs w:val="28"/>
            </w:rPr>
            <w:fldChar w:fldCharType="separate"/>
          </w:r>
          <w:r>
            <w:rPr>
              <w:rFonts w:hint="eastAsia" w:ascii="仿宋" w:hAnsi="仿宋" w:eastAsia="仿宋" w:cs="仿宋"/>
              <w:sz w:val="28"/>
              <w:szCs w:val="28"/>
            </w:rPr>
            <w:t>131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3D0238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_Toc21039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13.3 因承包人原因导致工期延误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_Toc21039 \h </w:instrText>
          </w:r>
          <w:r>
            <w:rPr>
              <w:rFonts w:hint="eastAsia" w:ascii="仿宋" w:hAnsi="仿宋" w:eastAsia="仿宋" w:cs="仿宋"/>
              <w:sz w:val="28"/>
              <w:szCs w:val="28"/>
            </w:rPr>
            <w:fldChar w:fldCharType="separate"/>
          </w:r>
          <w:r>
            <w:rPr>
              <w:rFonts w:hint="eastAsia" w:ascii="仿宋" w:hAnsi="仿宋" w:eastAsia="仿宋" w:cs="仿宋"/>
              <w:sz w:val="28"/>
              <w:szCs w:val="28"/>
            </w:rPr>
            <w:t>131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0DCE98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_Toc982 </w:instrText>
          </w:r>
          <w:r>
            <w:rPr>
              <w:rFonts w:hint="eastAsia" w:ascii="仿宋" w:hAnsi="仿宋" w:eastAsia="仿宋" w:cs="仿宋"/>
              <w:sz w:val="28"/>
              <w:szCs w:val="28"/>
              <w:highlight w:val="none"/>
            </w:rPr>
            <w:fldChar w:fldCharType="separate"/>
          </w:r>
          <w:r>
            <w:rPr>
              <w:rFonts w:hint="eastAsia" w:ascii="仿宋" w:hAnsi="仿宋" w:eastAsia="仿宋" w:cs="仿宋"/>
              <w:kern w:val="2"/>
              <w:sz w:val="28"/>
              <w:szCs w:val="28"/>
              <w:highlight w:val="none"/>
            </w:rPr>
            <w:t>13.4 提前竣工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_Toc982 \h </w:instrText>
          </w:r>
          <w:r>
            <w:rPr>
              <w:rFonts w:hint="eastAsia" w:ascii="仿宋" w:hAnsi="仿宋" w:eastAsia="仿宋" w:cs="仿宋"/>
              <w:sz w:val="28"/>
              <w:szCs w:val="28"/>
            </w:rPr>
            <w:fldChar w:fldCharType="separate"/>
          </w:r>
          <w:r>
            <w:rPr>
              <w:rFonts w:hint="eastAsia" w:ascii="仿宋" w:hAnsi="仿宋" w:eastAsia="仿宋" w:cs="仿宋"/>
              <w:sz w:val="28"/>
              <w:szCs w:val="28"/>
            </w:rPr>
            <w:t>131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26B6CB">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_Toc13977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14 材料设备的供应和检测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_Toc13977 \h </w:instrText>
          </w:r>
          <w:r>
            <w:rPr>
              <w:rFonts w:hint="eastAsia" w:ascii="仿宋" w:hAnsi="仿宋" w:eastAsia="仿宋" w:cs="仿宋"/>
              <w:sz w:val="28"/>
              <w:szCs w:val="28"/>
            </w:rPr>
            <w:fldChar w:fldCharType="separate"/>
          </w:r>
          <w:r>
            <w:rPr>
              <w:rFonts w:hint="eastAsia" w:ascii="仿宋" w:hAnsi="仿宋" w:eastAsia="仿宋" w:cs="仿宋"/>
              <w:sz w:val="28"/>
              <w:szCs w:val="28"/>
            </w:rPr>
            <w:t>131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3C2671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_Toc26716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14.1 发包人供应材料设备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_Toc26716 \h </w:instrText>
          </w:r>
          <w:r>
            <w:rPr>
              <w:rFonts w:hint="eastAsia" w:ascii="仿宋" w:hAnsi="仿宋" w:eastAsia="仿宋" w:cs="仿宋"/>
              <w:sz w:val="28"/>
              <w:szCs w:val="28"/>
            </w:rPr>
            <w:fldChar w:fldCharType="separate"/>
          </w:r>
          <w:r>
            <w:rPr>
              <w:rFonts w:hint="eastAsia" w:ascii="仿宋" w:hAnsi="仿宋" w:eastAsia="仿宋" w:cs="仿宋"/>
              <w:sz w:val="28"/>
              <w:szCs w:val="28"/>
            </w:rPr>
            <w:t>131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C1B8F5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_Toc20829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14.2 发包人供应材料设备的结算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_Toc20829 \h </w:instrText>
          </w:r>
          <w:r>
            <w:rPr>
              <w:rFonts w:hint="eastAsia" w:ascii="仿宋" w:hAnsi="仿宋" w:eastAsia="仿宋" w:cs="仿宋"/>
              <w:sz w:val="28"/>
              <w:szCs w:val="28"/>
            </w:rPr>
            <w:fldChar w:fldCharType="separate"/>
          </w:r>
          <w:r>
            <w:rPr>
              <w:rFonts w:hint="eastAsia" w:ascii="仿宋" w:hAnsi="仿宋" w:eastAsia="仿宋" w:cs="仿宋"/>
              <w:sz w:val="28"/>
              <w:szCs w:val="28"/>
            </w:rPr>
            <w:t>132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FED6CC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_Toc17962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14.4 承包人采购材料设备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_Toc17962 \h </w:instrText>
          </w:r>
          <w:r>
            <w:rPr>
              <w:rFonts w:hint="eastAsia" w:ascii="仿宋" w:hAnsi="仿宋" w:eastAsia="仿宋" w:cs="仿宋"/>
              <w:sz w:val="28"/>
              <w:szCs w:val="28"/>
            </w:rPr>
            <w:fldChar w:fldCharType="separate"/>
          </w:r>
          <w:r>
            <w:rPr>
              <w:rFonts w:hint="eastAsia" w:ascii="仿宋" w:hAnsi="仿宋" w:eastAsia="仿宋" w:cs="仿宋"/>
              <w:sz w:val="28"/>
              <w:szCs w:val="28"/>
            </w:rPr>
            <w:t>132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33DDA9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_Toc6214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14.6 材料和工程设备的替代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_Toc6214 \h </w:instrText>
          </w:r>
          <w:r>
            <w:rPr>
              <w:rFonts w:hint="eastAsia" w:ascii="仿宋" w:hAnsi="仿宋" w:eastAsia="仿宋" w:cs="仿宋"/>
              <w:sz w:val="28"/>
              <w:szCs w:val="28"/>
            </w:rPr>
            <w:fldChar w:fldCharType="separate"/>
          </w:r>
          <w:r>
            <w:rPr>
              <w:rFonts w:hint="eastAsia" w:ascii="仿宋" w:hAnsi="仿宋" w:eastAsia="仿宋" w:cs="仿宋"/>
              <w:sz w:val="28"/>
              <w:szCs w:val="28"/>
            </w:rPr>
            <w:t>133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0297F3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_Toc4251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14.7 材料设备的检验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_Toc4251 \h </w:instrText>
          </w:r>
          <w:r>
            <w:rPr>
              <w:rFonts w:hint="eastAsia" w:ascii="仿宋" w:hAnsi="仿宋" w:eastAsia="仿宋" w:cs="仿宋"/>
              <w:sz w:val="28"/>
              <w:szCs w:val="28"/>
            </w:rPr>
            <w:fldChar w:fldCharType="separate"/>
          </w:r>
          <w:r>
            <w:rPr>
              <w:rFonts w:hint="eastAsia" w:ascii="仿宋" w:hAnsi="仿宋" w:eastAsia="仿宋" w:cs="仿宋"/>
              <w:sz w:val="28"/>
              <w:szCs w:val="28"/>
            </w:rPr>
            <w:t>133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9E61053">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_Toc6928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15 工程质量和检测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_Toc6928 \h </w:instrText>
          </w:r>
          <w:r>
            <w:rPr>
              <w:rFonts w:hint="eastAsia" w:ascii="仿宋" w:hAnsi="仿宋" w:eastAsia="仿宋" w:cs="仿宋"/>
              <w:sz w:val="28"/>
              <w:szCs w:val="28"/>
            </w:rPr>
            <w:fldChar w:fldCharType="separate"/>
          </w:r>
          <w:r>
            <w:rPr>
              <w:rFonts w:hint="eastAsia" w:ascii="仿宋" w:hAnsi="仿宋" w:eastAsia="仿宋" w:cs="仿宋"/>
              <w:sz w:val="28"/>
              <w:szCs w:val="28"/>
            </w:rPr>
            <w:t>133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E582D9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_Toc8962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15.7 工程质量检测费用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_Toc8962 \h </w:instrText>
          </w:r>
          <w:r>
            <w:rPr>
              <w:rFonts w:hint="eastAsia" w:ascii="仿宋" w:hAnsi="仿宋" w:eastAsia="仿宋" w:cs="仿宋"/>
              <w:sz w:val="28"/>
              <w:szCs w:val="28"/>
            </w:rPr>
            <w:fldChar w:fldCharType="separate"/>
          </w:r>
          <w:r>
            <w:rPr>
              <w:rFonts w:hint="eastAsia" w:ascii="仿宋" w:hAnsi="仿宋" w:eastAsia="仿宋" w:cs="仿宋"/>
              <w:sz w:val="28"/>
              <w:szCs w:val="28"/>
            </w:rPr>
            <w:t>134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B022BCD">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_Toc20518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16 工程试运行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_Toc20518 \h </w:instrText>
          </w:r>
          <w:r>
            <w:rPr>
              <w:rFonts w:hint="eastAsia" w:ascii="仿宋" w:hAnsi="仿宋" w:eastAsia="仿宋" w:cs="仿宋"/>
              <w:sz w:val="28"/>
              <w:szCs w:val="28"/>
            </w:rPr>
            <w:fldChar w:fldCharType="separate"/>
          </w:r>
          <w:r>
            <w:rPr>
              <w:rFonts w:hint="eastAsia" w:ascii="仿宋" w:hAnsi="仿宋" w:eastAsia="仿宋" w:cs="仿宋"/>
              <w:sz w:val="28"/>
              <w:szCs w:val="28"/>
            </w:rPr>
            <w:t>134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F85268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_Toc2300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16.1 工程试运行内容和程序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_Toc2300 \h </w:instrText>
          </w:r>
          <w:r>
            <w:rPr>
              <w:rFonts w:hint="eastAsia" w:ascii="仿宋" w:hAnsi="仿宋" w:eastAsia="仿宋" w:cs="仿宋"/>
              <w:sz w:val="28"/>
              <w:szCs w:val="28"/>
            </w:rPr>
            <w:fldChar w:fldCharType="separate"/>
          </w:r>
          <w:r>
            <w:rPr>
              <w:rFonts w:hint="eastAsia" w:ascii="仿宋" w:hAnsi="仿宋" w:eastAsia="仿宋" w:cs="仿宋"/>
              <w:sz w:val="28"/>
              <w:szCs w:val="28"/>
            </w:rPr>
            <w:t>134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2CB728B">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_Toc12325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17 安全文明施工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_Toc12325 \h </w:instrText>
          </w:r>
          <w:r>
            <w:rPr>
              <w:rFonts w:hint="eastAsia" w:ascii="仿宋" w:hAnsi="仿宋" w:eastAsia="仿宋" w:cs="仿宋"/>
              <w:sz w:val="28"/>
              <w:szCs w:val="28"/>
            </w:rPr>
            <w:fldChar w:fldCharType="separate"/>
          </w:r>
          <w:r>
            <w:rPr>
              <w:rFonts w:hint="eastAsia" w:ascii="仿宋" w:hAnsi="仿宋" w:eastAsia="仿宋" w:cs="仿宋"/>
              <w:sz w:val="28"/>
              <w:szCs w:val="28"/>
            </w:rPr>
            <w:t>134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769CEC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_Toc20058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17.1发包人的安全文明施工责任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_Toc20058 \h </w:instrText>
          </w:r>
          <w:r>
            <w:rPr>
              <w:rFonts w:hint="eastAsia" w:ascii="仿宋" w:hAnsi="仿宋" w:eastAsia="仿宋" w:cs="仿宋"/>
              <w:sz w:val="28"/>
              <w:szCs w:val="28"/>
            </w:rPr>
            <w:fldChar w:fldCharType="separate"/>
          </w:r>
          <w:r>
            <w:rPr>
              <w:rFonts w:hint="eastAsia" w:ascii="仿宋" w:hAnsi="仿宋" w:eastAsia="仿宋" w:cs="仿宋"/>
              <w:sz w:val="28"/>
              <w:szCs w:val="28"/>
            </w:rPr>
            <w:t>134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93DF97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_Toc24218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17.2 承包人的安全文明施工责任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_Toc24218 \h </w:instrText>
          </w:r>
          <w:r>
            <w:rPr>
              <w:rFonts w:hint="eastAsia" w:ascii="仿宋" w:hAnsi="仿宋" w:eastAsia="仿宋" w:cs="仿宋"/>
              <w:sz w:val="28"/>
              <w:szCs w:val="28"/>
            </w:rPr>
            <w:fldChar w:fldCharType="separate"/>
          </w:r>
          <w:r>
            <w:rPr>
              <w:rFonts w:hint="eastAsia" w:ascii="仿宋" w:hAnsi="仿宋" w:eastAsia="仿宋" w:cs="仿宋"/>
              <w:sz w:val="28"/>
              <w:szCs w:val="28"/>
            </w:rPr>
            <w:t>134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837CAF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_Toc15217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17.8 承包人的环境保护责任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_Toc15217 \h </w:instrText>
          </w:r>
          <w:r>
            <w:rPr>
              <w:rFonts w:hint="eastAsia" w:ascii="仿宋" w:hAnsi="仿宋" w:eastAsia="仿宋" w:cs="仿宋"/>
              <w:sz w:val="28"/>
              <w:szCs w:val="28"/>
            </w:rPr>
            <w:fldChar w:fldCharType="separate"/>
          </w:r>
          <w:r>
            <w:rPr>
              <w:rFonts w:hint="eastAsia" w:ascii="仿宋" w:hAnsi="仿宋" w:eastAsia="仿宋" w:cs="仿宋"/>
              <w:sz w:val="28"/>
              <w:szCs w:val="28"/>
            </w:rPr>
            <w:t>135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897A7C">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_Toc20888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18 余泥渣土运输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_Toc20888 \h </w:instrText>
          </w:r>
          <w:r>
            <w:rPr>
              <w:rFonts w:hint="eastAsia" w:ascii="仿宋" w:hAnsi="仿宋" w:eastAsia="仿宋" w:cs="仿宋"/>
              <w:sz w:val="28"/>
              <w:szCs w:val="28"/>
            </w:rPr>
            <w:fldChar w:fldCharType="separate"/>
          </w:r>
          <w:r>
            <w:rPr>
              <w:rFonts w:hint="eastAsia" w:ascii="仿宋" w:hAnsi="仿宋" w:eastAsia="仿宋" w:cs="仿宋"/>
              <w:sz w:val="28"/>
              <w:szCs w:val="28"/>
            </w:rPr>
            <w:t>135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D55A50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_Toc18638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18.2 承包人自行运输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_Toc18638 \h </w:instrText>
          </w:r>
          <w:r>
            <w:rPr>
              <w:rFonts w:hint="eastAsia" w:ascii="仿宋" w:hAnsi="仿宋" w:eastAsia="仿宋" w:cs="仿宋"/>
              <w:sz w:val="28"/>
              <w:szCs w:val="28"/>
            </w:rPr>
            <w:fldChar w:fldCharType="separate"/>
          </w:r>
          <w:r>
            <w:rPr>
              <w:rFonts w:hint="eastAsia" w:ascii="仿宋" w:hAnsi="仿宋" w:eastAsia="仿宋" w:cs="仿宋"/>
              <w:sz w:val="28"/>
              <w:szCs w:val="28"/>
            </w:rPr>
            <w:t>135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91748E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_Toc14105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18.3 余泥渣土运输分包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_Toc14105 \h </w:instrText>
          </w:r>
          <w:r>
            <w:rPr>
              <w:rFonts w:hint="eastAsia" w:ascii="仿宋" w:hAnsi="仿宋" w:eastAsia="仿宋" w:cs="仿宋"/>
              <w:sz w:val="28"/>
              <w:szCs w:val="28"/>
            </w:rPr>
            <w:fldChar w:fldCharType="separate"/>
          </w:r>
          <w:r>
            <w:rPr>
              <w:rFonts w:hint="eastAsia" w:ascii="仿宋" w:hAnsi="仿宋" w:eastAsia="仿宋" w:cs="仿宋"/>
              <w:sz w:val="28"/>
              <w:szCs w:val="28"/>
            </w:rPr>
            <w:t>135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BFEAFB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_Toc11679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18.5 余泥渣土运输车辆和驾驶员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_Toc11679 \h </w:instrText>
          </w:r>
          <w:r>
            <w:rPr>
              <w:rFonts w:hint="eastAsia" w:ascii="仿宋" w:hAnsi="仿宋" w:eastAsia="仿宋" w:cs="仿宋"/>
              <w:sz w:val="28"/>
              <w:szCs w:val="28"/>
            </w:rPr>
            <w:fldChar w:fldCharType="separate"/>
          </w:r>
          <w:r>
            <w:rPr>
              <w:rFonts w:hint="eastAsia" w:ascii="仿宋" w:hAnsi="仿宋" w:eastAsia="仿宋" w:cs="仿宋"/>
              <w:sz w:val="28"/>
              <w:szCs w:val="28"/>
            </w:rPr>
            <w:t>135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D0EA38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_Toc3655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18.6 专职检查人员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_Toc3655 \h </w:instrText>
          </w:r>
          <w:r>
            <w:rPr>
              <w:rFonts w:hint="eastAsia" w:ascii="仿宋" w:hAnsi="仿宋" w:eastAsia="仿宋" w:cs="仿宋"/>
              <w:sz w:val="28"/>
              <w:szCs w:val="28"/>
            </w:rPr>
            <w:fldChar w:fldCharType="separate"/>
          </w:r>
          <w:r>
            <w:rPr>
              <w:rFonts w:hint="eastAsia" w:ascii="仿宋" w:hAnsi="仿宋" w:eastAsia="仿宋" w:cs="仿宋"/>
              <w:sz w:val="28"/>
              <w:szCs w:val="28"/>
            </w:rPr>
            <w:t>136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E27289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_Toc18002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18.7 余泥渣土安全文明运输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_Toc18002 \h </w:instrText>
          </w:r>
          <w:r>
            <w:rPr>
              <w:rFonts w:hint="eastAsia" w:ascii="仿宋" w:hAnsi="仿宋" w:eastAsia="仿宋" w:cs="仿宋"/>
              <w:sz w:val="28"/>
              <w:szCs w:val="28"/>
            </w:rPr>
            <w:fldChar w:fldCharType="separate"/>
          </w:r>
          <w:r>
            <w:rPr>
              <w:rFonts w:hint="eastAsia" w:ascii="仿宋" w:hAnsi="仿宋" w:eastAsia="仿宋" w:cs="仿宋"/>
              <w:sz w:val="28"/>
              <w:szCs w:val="28"/>
            </w:rPr>
            <w:t>136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DE6D0F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_Toc23579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18.8 检查纠正责任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_Toc23579 \h </w:instrText>
          </w:r>
          <w:r>
            <w:rPr>
              <w:rFonts w:hint="eastAsia" w:ascii="仿宋" w:hAnsi="仿宋" w:eastAsia="仿宋" w:cs="仿宋"/>
              <w:sz w:val="28"/>
              <w:szCs w:val="28"/>
            </w:rPr>
            <w:fldChar w:fldCharType="separate"/>
          </w:r>
          <w:r>
            <w:rPr>
              <w:rFonts w:hint="eastAsia" w:ascii="仿宋" w:hAnsi="仿宋" w:eastAsia="仿宋" w:cs="仿宋"/>
              <w:sz w:val="28"/>
              <w:szCs w:val="28"/>
            </w:rPr>
            <w:t>137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177C4EE">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_Toc15669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20 合同价格的确定和调整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_Toc15669 \h </w:instrText>
          </w:r>
          <w:r>
            <w:rPr>
              <w:rFonts w:hint="eastAsia" w:ascii="仿宋" w:hAnsi="仿宋" w:eastAsia="仿宋" w:cs="仿宋"/>
              <w:sz w:val="28"/>
              <w:szCs w:val="28"/>
            </w:rPr>
            <w:fldChar w:fldCharType="separate"/>
          </w:r>
          <w:r>
            <w:rPr>
              <w:rFonts w:hint="eastAsia" w:ascii="仿宋" w:hAnsi="仿宋" w:eastAsia="仿宋" w:cs="仿宋"/>
              <w:sz w:val="28"/>
              <w:szCs w:val="28"/>
            </w:rPr>
            <w:t>137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4612A9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_Toc24057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20.1 签约合同价的确定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_Toc24057 \h </w:instrText>
          </w:r>
          <w:r>
            <w:rPr>
              <w:rFonts w:hint="eastAsia" w:ascii="仿宋" w:hAnsi="仿宋" w:eastAsia="仿宋" w:cs="仿宋"/>
              <w:sz w:val="28"/>
              <w:szCs w:val="28"/>
            </w:rPr>
            <w:fldChar w:fldCharType="separate"/>
          </w:r>
          <w:r>
            <w:rPr>
              <w:rFonts w:hint="eastAsia" w:ascii="仿宋" w:hAnsi="仿宋" w:eastAsia="仿宋" w:cs="仿宋"/>
              <w:sz w:val="28"/>
              <w:szCs w:val="28"/>
            </w:rPr>
            <w:t>137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5B851B0">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_Toc27939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20.2 合同价格的调整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_Toc27939 \h </w:instrText>
          </w:r>
          <w:r>
            <w:rPr>
              <w:rFonts w:hint="eastAsia" w:ascii="仿宋" w:hAnsi="仿宋" w:eastAsia="仿宋" w:cs="仿宋"/>
              <w:sz w:val="28"/>
              <w:szCs w:val="28"/>
            </w:rPr>
            <w:fldChar w:fldCharType="separate"/>
          </w:r>
          <w:r>
            <w:rPr>
              <w:rFonts w:hint="eastAsia" w:ascii="仿宋" w:hAnsi="仿宋" w:eastAsia="仿宋" w:cs="仿宋"/>
              <w:sz w:val="28"/>
              <w:szCs w:val="28"/>
            </w:rPr>
            <w:t>137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9B7976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_Toc29237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20.4 工料机调差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_Toc29237 \h </w:instrText>
          </w:r>
          <w:r>
            <w:rPr>
              <w:rFonts w:hint="eastAsia" w:ascii="仿宋" w:hAnsi="仿宋" w:eastAsia="仿宋" w:cs="仿宋"/>
              <w:sz w:val="28"/>
              <w:szCs w:val="28"/>
            </w:rPr>
            <w:fldChar w:fldCharType="separate"/>
          </w:r>
          <w:r>
            <w:rPr>
              <w:rFonts w:hint="eastAsia" w:ascii="仿宋" w:hAnsi="仿宋" w:eastAsia="仿宋" w:cs="仿宋"/>
              <w:sz w:val="28"/>
              <w:szCs w:val="28"/>
            </w:rPr>
            <w:t>137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1D7051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_Toc30333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20.5 材料调差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_Toc30333 \h </w:instrText>
          </w:r>
          <w:r>
            <w:rPr>
              <w:rFonts w:hint="eastAsia" w:ascii="仿宋" w:hAnsi="仿宋" w:eastAsia="仿宋" w:cs="仿宋"/>
              <w:sz w:val="28"/>
              <w:szCs w:val="28"/>
            </w:rPr>
            <w:fldChar w:fldCharType="separate"/>
          </w:r>
          <w:r>
            <w:rPr>
              <w:rFonts w:hint="eastAsia" w:ascii="仿宋" w:hAnsi="仿宋" w:eastAsia="仿宋" w:cs="仿宋"/>
              <w:sz w:val="28"/>
              <w:szCs w:val="28"/>
            </w:rPr>
            <w:t>138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58F5E3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_Toc28062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20.6 人工、机械使用调差方法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_Toc28062 \h </w:instrText>
          </w:r>
          <w:r>
            <w:rPr>
              <w:rFonts w:hint="eastAsia" w:ascii="仿宋" w:hAnsi="仿宋" w:eastAsia="仿宋" w:cs="仿宋"/>
              <w:sz w:val="28"/>
              <w:szCs w:val="28"/>
            </w:rPr>
            <w:fldChar w:fldCharType="separate"/>
          </w:r>
          <w:r>
            <w:rPr>
              <w:rFonts w:hint="eastAsia" w:ascii="仿宋" w:hAnsi="仿宋" w:eastAsia="仿宋" w:cs="仿宋"/>
              <w:sz w:val="28"/>
              <w:szCs w:val="28"/>
            </w:rPr>
            <w:t>139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F9B82B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20.8中标净下浮率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 \h </w:instrText>
          </w:r>
          <w:r>
            <w:rPr>
              <w:rFonts w:hint="eastAsia" w:ascii="仿宋" w:hAnsi="仿宋" w:eastAsia="仿宋" w:cs="仿宋"/>
              <w:sz w:val="28"/>
              <w:szCs w:val="28"/>
            </w:rPr>
            <w:fldChar w:fldCharType="separate"/>
          </w:r>
          <w:r>
            <w:rPr>
              <w:rFonts w:hint="eastAsia" w:ascii="仿宋" w:hAnsi="仿宋" w:eastAsia="仿宋" w:cs="仿宋"/>
              <w:sz w:val="28"/>
              <w:szCs w:val="28"/>
            </w:rPr>
            <w:t>140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76C4F5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_Toc3717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20.9 询价采购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_Toc3717 \h </w:instrText>
          </w:r>
          <w:r>
            <w:rPr>
              <w:rFonts w:hint="eastAsia" w:ascii="仿宋" w:hAnsi="仿宋" w:eastAsia="仿宋" w:cs="仿宋"/>
              <w:sz w:val="28"/>
              <w:szCs w:val="28"/>
            </w:rPr>
            <w:fldChar w:fldCharType="separate"/>
          </w:r>
          <w:r>
            <w:rPr>
              <w:rFonts w:hint="eastAsia" w:ascii="仿宋" w:hAnsi="仿宋" w:eastAsia="仿宋" w:cs="仿宋"/>
              <w:sz w:val="28"/>
              <w:szCs w:val="28"/>
            </w:rPr>
            <w:t>140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6D5635A">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_Toc14641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21暂估价和暂列金额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_Toc14641 \h </w:instrText>
          </w:r>
          <w:r>
            <w:rPr>
              <w:rFonts w:hint="eastAsia" w:ascii="仿宋" w:hAnsi="仿宋" w:eastAsia="仿宋" w:cs="仿宋"/>
              <w:sz w:val="28"/>
              <w:szCs w:val="28"/>
            </w:rPr>
            <w:fldChar w:fldCharType="separate"/>
          </w:r>
          <w:r>
            <w:rPr>
              <w:rFonts w:hint="eastAsia" w:ascii="仿宋" w:hAnsi="仿宋" w:eastAsia="仿宋" w:cs="仿宋"/>
              <w:sz w:val="28"/>
              <w:szCs w:val="28"/>
            </w:rPr>
            <w:t>141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B5AC19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21.1材料设备暂估价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 \h </w:instrText>
          </w:r>
          <w:r>
            <w:rPr>
              <w:rFonts w:hint="eastAsia" w:ascii="仿宋" w:hAnsi="仿宋" w:eastAsia="仿宋" w:cs="仿宋"/>
              <w:sz w:val="28"/>
              <w:szCs w:val="28"/>
            </w:rPr>
            <w:fldChar w:fldCharType="separate"/>
          </w:r>
          <w:r>
            <w:rPr>
              <w:rFonts w:hint="eastAsia" w:ascii="仿宋" w:hAnsi="仿宋" w:eastAsia="仿宋" w:cs="仿宋"/>
              <w:sz w:val="28"/>
              <w:szCs w:val="28"/>
            </w:rPr>
            <w:t>141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00B1A8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_Toc20111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21.2专业工程暂估价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_Toc20111 \h </w:instrText>
          </w:r>
          <w:r>
            <w:rPr>
              <w:rFonts w:hint="eastAsia" w:ascii="仿宋" w:hAnsi="仿宋" w:eastAsia="仿宋" w:cs="仿宋"/>
              <w:sz w:val="28"/>
              <w:szCs w:val="28"/>
            </w:rPr>
            <w:fldChar w:fldCharType="separate"/>
          </w:r>
          <w:r>
            <w:rPr>
              <w:rFonts w:hint="eastAsia" w:ascii="仿宋" w:hAnsi="仿宋" w:eastAsia="仿宋" w:cs="仿宋"/>
              <w:sz w:val="28"/>
              <w:szCs w:val="28"/>
            </w:rPr>
            <w:t>142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CCEC611">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_Toc17488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22 工程量计量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_Toc17488 \h </w:instrText>
          </w:r>
          <w:r>
            <w:rPr>
              <w:rFonts w:hint="eastAsia" w:ascii="仿宋" w:hAnsi="仿宋" w:eastAsia="仿宋" w:cs="仿宋"/>
              <w:sz w:val="28"/>
              <w:szCs w:val="28"/>
            </w:rPr>
            <w:fldChar w:fldCharType="separate"/>
          </w:r>
          <w:r>
            <w:rPr>
              <w:rFonts w:hint="eastAsia" w:ascii="仿宋" w:hAnsi="仿宋" w:eastAsia="仿宋" w:cs="仿宋"/>
              <w:sz w:val="28"/>
              <w:szCs w:val="28"/>
            </w:rPr>
            <w:t>142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0CE03A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_Toc8079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22.3工程量计算规则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_Toc8079 \h </w:instrText>
          </w:r>
          <w:r>
            <w:rPr>
              <w:rFonts w:hint="eastAsia" w:ascii="仿宋" w:hAnsi="仿宋" w:eastAsia="仿宋" w:cs="仿宋"/>
              <w:sz w:val="28"/>
              <w:szCs w:val="28"/>
            </w:rPr>
            <w:fldChar w:fldCharType="separate"/>
          </w:r>
          <w:r>
            <w:rPr>
              <w:rFonts w:hint="eastAsia" w:ascii="仿宋" w:hAnsi="仿宋" w:eastAsia="仿宋" w:cs="仿宋"/>
              <w:sz w:val="28"/>
              <w:szCs w:val="28"/>
            </w:rPr>
            <w:t>142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61BDF38">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_Toc3259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23 工程款支付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_Toc3259 \h </w:instrText>
          </w:r>
          <w:r>
            <w:rPr>
              <w:rFonts w:hint="eastAsia" w:ascii="仿宋" w:hAnsi="仿宋" w:eastAsia="仿宋" w:cs="仿宋"/>
              <w:sz w:val="28"/>
              <w:szCs w:val="28"/>
            </w:rPr>
            <w:fldChar w:fldCharType="separate"/>
          </w:r>
          <w:r>
            <w:rPr>
              <w:rFonts w:hint="eastAsia" w:ascii="仿宋" w:hAnsi="仿宋" w:eastAsia="仿宋" w:cs="仿宋"/>
              <w:sz w:val="28"/>
              <w:szCs w:val="28"/>
            </w:rPr>
            <w:t>143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39C8A7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_Toc27436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23.1 工程预付款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_Toc27436 \h </w:instrText>
          </w:r>
          <w:r>
            <w:rPr>
              <w:rFonts w:hint="eastAsia" w:ascii="仿宋" w:hAnsi="仿宋" w:eastAsia="仿宋" w:cs="仿宋"/>
              <w:sz w:val="28"/>
              <w:szCs w:val="28"/>
            </w:rPr>
            <w:fldChar w:fldCharType="separate"/>
          </w:r>
          <w:r>
            <w:rPr>
              <w:rFonts w:hint="eastAsia" w:ascii="仿宋" w:hAnsi="仿宋" w:eastAsia="仿宋" w:cs="仿宋"/>
              <w:sz w:val="28"/>
              <w:szCs w:val="28"/>
            </w:rPr>
            <w:t>143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72C9EE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_Toc13802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23.2 期中结算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_Toc13802 \h </w:instrText>
          </w:r>
          <w:r>
            <w:rPr>
              <w:rFonts w:hint="eastAsia" w:ascii="仿宋" w:hAnsi="仿宋" w:eastAsia="仿宋" w:cs="仿宋"/>
              <w:sz w:val="28"/>
              <w:szCs w:val="28"/>
            </w:rPr>
            <w:fldChar w:fldCharType="separate"/>
          </w:r>
          <w:r>
            <w:rPr>
              <w:rFonts w:hint="eastAsia" w:ascii="仿宋" w:hAnsi="仿宋" w:eastAsia="仿宋" w:cs="仿宋"/>
              <w:sz w:val="28"/>
              <w:szCs w:val="28"/>
            </w:rPr>
            <w:t>143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D203DBE">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_Toc23471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23.4 期中支付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_Toc23471 \h </w:instrText>
          </w:r>
          <w:r>
            <w:rPr>
              <w:rFonts w:hint="eastAsia" w:ascii="仿宋" w:hAnsi="仿宋" w:eastAsia="仿宋" w:cs="仿宋"/>
              <w:sz w:val="28"/>
              <w:szCs w:val="28"/>
            </w:rPr>
            <w:fldChar w:fldCharType="separate"/>
          </w:r>
          <w:r>
            <w:rPr>
              <w:rFonts w:hint="eastAsia" w:ascii="仿宋" w:hAnsi="仿宋" w:eastAsia="仿宋" w:cs="仿宋"/>
              <w:sz w:val="28"/>
              <w:szCs w:val="28"/>
            </w:rPr>
            <w:t>143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B57C84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_Toc28626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23.5 工人工资支付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_Toc28626 \h </w:instrText>
          </w:r>
          <w:r>
            <w:rPr>
              <w:rFonts w:hint="eastAsia" w:ascii="仿宋" w:hAnsi="仿宋" w:eastAsia="仿宋" w:cs="仿宋"/>
              <w:sz w:val="28"/>
              <w:szCs w:val="28"/>
            </w:rPr>
            <w:fldChar w:fldCharType="separate"/>
          </w:r>
          <w:r>
            <w:rPr>
              <w:rFonts w:hint="eastAsia" w:ascii="仿宋" w:hAnsi="仿宋" w:eastAsia="仿宋" w:cs="仿宋"/>
              <w:sz w:val="28"/>
              <w:szCs w:val="28"/>
            </w:rPr>
            <w:t>144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59DBBF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_Toc7363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23.6 工程款专款专用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_Toc7363 \h </w:instrText>
          </w:r>
          <w:r>
            <w:rPr>
              <w:rFonts w:hint="eastAsia" w:ascii="仿宋" w:hAnsi="仿宋" w:eastAsia="仿宋" w:cs="仿宋"/>
              <w:sz w:val="28"/>
              <w:szCs w:val="28"/>
            </w:rPr>
            <w:fldChar w:fldCharType="separate"/>
          </w:r>
          <w:r>
            <w:rPr>
              <w:rFonts w:hint="eastAsia" w:ascii="仿宋" w:hAnsi="仿宋" w:eastAsia="仿宋" w:cs="仿宋"/>
              <w:sz w:val="28"/>
              <w:szCs w:val="28"/>
            </w:rPr>
            <w:t>146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349ECFD">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_Toc11478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24 工程变更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_Toc11478 \h </w:instrText>
          </w:r>
          <w:r>
            <w:rPr>
              <w:rFonts w:hint="eastAsia" w:ascii="仿宋" w:hAnsi="仿宋" w:eastAsia="仿宋" w:cs="仿宋"/>
              <w:sz w:val="28"/>
              <w:szCs w:val="28"/>
            </w:rPr>
            <w:fldChar w:fldCharType="separate"/>
          </w:r>
          <w:r>
            <w:rPr>
              <w:rFonts w:hint="eastAsia" w:ascii="仿宋" w:hAnsi="仿宋" w:eastAsia="仿宋" w:cs="仿宋"/>
              <w:sz w:val="28"/>
              <w:szCs w:val="28"/>
            </w:rPr>
            <w:t>146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7A2C84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_Toc32533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24.3 工程变更程序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_Toc32533 \h </w:instrText>
          </w:r>
          <w:r>
            <w:rPr>
              <w:rFonts w:hint="eastAsia" w:ascii="仿宋" w:hAnsi="仿宋" w:eastAsia="仿宋" w:cs="仿宋"/>
              <w:sz w:val="28"/>
              <w:szCs w:val="28"/>
            </w:rPr>
            <w:fldChar w:fldCharType="separate"/>
          </w:r>
          <w:r>
            <w:rPr>
              <w:rFonts w:hint="eastAsia" w:ascii="仿宋" w:hAnsi="仿宋" w:eastAsia="仿宋" w:cs="仿宋"/>
              <w:sz w:val="28"/>
              <w:szCs w:val="28"/>
            </w:rPr>
            <w:t>146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F3B35B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_Toc27490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24.6 价值工程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_Toc27490 \h </w:instrText>
          </w:r>
          <w:r>
            <w:rPr>
              <w:rFonts w:hint="eastAsia" w:ascii="仿宋" w:hAnsi="仿宋" w:eastAsia="仿宋" w:cs="仿宋"/>
              <w:sz w:val="28"/>
              <w:szCs w:val="28"/>
            </w:rPr>
            <w:fldChar w:fldCharType="separate"/>
          </w:r>
          <w:r>
            <w:rPr>
              <w:rFonts w:hint="eastAsia" w:ascii="仿宋" w:hAnsi="仿宋" w:eastAsia="仿宋" w:cs="仿宋"/>
              <w:sz w:val="28"/>
              <w:szCs w:val="28"/>
            </w:rPr>
            <w:t>147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EA84C55">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_Toc32273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25 工程变更价款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_Toc32273 \h </w:instrText>
          </w:r>
          <w:r>
            <w:rPr>
              <w:rFonts w:hint="eastAsia" w:ascii="仿宋" w:hAnsi="仿宋" w:eastAsia="仿宋" w:cs="仿宋"/>
              <w:sz w:val="28"/>
              <w:szCs w:val="28"/>
            </w:rPr>
            <w:fldChar w:fldCharType="separate"/>
          </w:r>
          <w:r>
            <w:rPr>
              <w:rFonts w:hint="eastAsia" w:ascii="仿宋" w:hAnsi="仿宋" w:eastAsia="仿宋" w:cs="仿宋"/>
              <w:sz w:val="28"/>
              <w:szCs w:val="28"/>
            </w:rPr>
            <w:t>147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BF2428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_Toc32047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25.1 工程变更价款的确定方法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_Toc32047 \h </w:instrText>
          </w:r>
          <w:r>
            <w:rPr>
              <w:rFonts w:hint="eastAsia" w:ascii="仿宋" w:hAnsi="仿宋" w:eastAsia="仿宋" w:cs="仿宋"/>
              <w:sz w:val="28"/>
              <w:szCs w:val="28"/>
            </w:rPr>
            <w:fldChar w:fldCharType="separate"/>
          </w:r>
          <w:r>
            <w:rPr>
              <w:rFonts w:hint="eastAsia" w:ascii="仿宋" w:hAnsi="仿宋" w:eastAsia="仿宋" w:cs="仿宋"/>
              <w:sz w:val="28"/>
              <w:szCs w:val="28"/>
            </w:rPr>
            <w:t>147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D7F6B5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_Toc24707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25.2 工程变更引起措施项目的调整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_Toc24707 \h </w:instrText>
          </w:r>
          <w:r>
            <w:rPr>
              <w:rFonts w:hint="eastAsia" w:ascii="仿宋" w:hAnsi="仿宋" w:eastAsia="仿宋" w:cs="仿宋"/>
              <w:sz w:val="28"/>
              <w:szCs w:val="28"/>
            </w:rPr>
            <w:fldChar w:fldCharType="separate"/>
          </w:r>
          <w:r>
            <w:rPr>
              <w:rFonts w:hint="eastAsia" w:ascii="仿宋" w:hAnsi="仿宋" w:eastAsia="仿宋" w:cs="仿宋"/>
              <w:sz w:val="28"/>
              <w:szCs w:val="28"/>
            </w:rPr>
            <w:t>148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B67F76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_Toc16882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25.3 工程变更价款的确定程序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_Toc16882 \h </w:instrText>
          </w:r>
          <w:r>
            <w:rPr>
              <w:rFonts w:hint="eastAsia" w:ascii="仿宋" w:hAnsi="仿宋" w:eastAsia="仿宋" w:cs="仿宋"/>
              <w:sz w:val="28"/>
              <w:szCs w:val="28"/>
            </w:rPr>
            <w:fldChar w:fldCharType="separate"/>
          </w:r>
          <w:r>
            <w:rPr>
              <w:rFonts w:hint="eastAsia" w:ascii="仿宋" w:hAnsi="仿宋" w:eastAsia="仿宋" w:cs="仿宋"/>
              <w:sz w:val="28"/>
              <w:szCs w:val="28"/>
            </w:rPr>
            <w:t>148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94984A4">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_Toc13077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25.4 工程量变化调整项目单价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_Toc13077 \h </w:instrText>
          </w:r>
          <w:r>
            <w:rPr>
              <w:rFonts w:hint="eastAsia" w:ascii="仿宋" w:hAnsi="仿宋" w:eastAsia="仿宋" w:cs="仿宋"/>
              <w:sz w:val="28"/>
              <w:szCs w:val="28"/>
            </w:rPr>
            <w:fldChar w:fldCharType="separate"/>
          </w:r>
          <w:r>
            <w:rPr>
              <w:rFonts w:hint="eastAsia" w:ascii="仿宋" w:hAnsi="仿宋" w:eastAsia="仿宋" w:cs="仿宋"/>
              <w:sz w:val="28"/>
              <w:szCs w:val="28"/>
            </w:rPr>
            <w:t>148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6127EC7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_Toc14406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25.5 工程变更价款支付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_Toc14406 \h </w:instrText>
          </w:r>
          <w:r>
            <w:rPr>
              <w:rFonts w:hint="eastAsia" w:ascii="仿宋" w:hAnsi="仿宋" w:eastAsia="仿宋" w:cs="仿宋"/>
              <w:sz w:val="28"/>
              <w:szCs w:val="28"/>
            </w:rPr>
            <w:fldChar w:fldCharType="separate"/>
          </w:r>
          <w:r>
            <w:rPr>
              <w:rFonts w:hint="eastAsia" w:ascii="仿宋" w:hAnsi="仿宋" w:eastAsia="仿宋" w:cs="仿宋"/>
              <w:sz w:val="28"/>
              <w:szCs w:val="28"/>
            </w:rPr>
            <w:t>148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EBBF98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_Toc5136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25.6 删减工作或工程的补偿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_Toc5136 \h </w:instrText>
          </w:r>
          <w:r>
            <w:rPr>
              <w:rFonts w:hint="eastAsia" w:ascii="仿宋" w:hAnsi="仿宋" w:eastAsia="仿宋" w:cs="仿宋"/>
              <w:sz w:val="28"/>
              <w:szCs w:val="28"/>
            </w:rPr>
            <w:fldChar w:fldCharType="separate"/>
          </w:r>
          <w:r>
            <w:rPr>
              <w:rFonts w:hint="eastAsia" w:ascii="仿宋" w:hAnsi="仿宋" w:eastAsia="仿宋" w:cs="仿宋"/>
              <w:sz w:val="28"/>
              <w:szCs w:val="28"/>
            </w:rPr>
            <w:t>149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C66C5F2">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_Toc7946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26 竣工验收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_Toc7946 \h </w:instrText>
          </w:r>
          <w:r>
            <w:rPr>
              <w:rFonts w:hint="eastAsia" w:ascii="仿宋" w:hAnsi="仿宋" w:eastAsia="仿宋" w:cs="仿宋"/>
              <w:sz w:val="28"/>
              <w:szCs w:val="28"/>
            </w:rPr>
            <w:fldChar w:fldCharType="separate"/>
          </w:r>
          <w:r>
            <w:rPr>
              <w:rFonts w:hint="eastAsia" w:ascii="仿宋" w:hAnsi="仿宋" w:eastAsia="仿宋" w:cs="仿宋"/>
              <w:sz w:val="28"/>
              <w:szCs w:val="28"/>
            </w:rPr>
            <w:t>149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FFDD30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_Toc16837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26.1 竣工验收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_Toc16837 \h </w:instrText>
          </w:r>
          <w:r>
            <w:rPr>
              <w:rFonts w:hint="eastAsia" w:ascii="仿宋" w:hAnsi="仿宋" w:eastAsia="仿宋" w:cs="仿宋"/>
              <w:sz w:val="28"/>
              <w:szCs w:val="28"/>
            </w:rPr>
            <w:fldChar w:fldCharType="separate"/>
          </w:r>
          <w:r>
            <w:rPr>
              <w:rFonts w:hint="eastAsia" w:ascii="仿宋" w:hAnsi="仿宋" w:eastAsia="仿宋" w:cs="仿宋"/>
              <w:sz w:val="28"/>
              <w:szCs w:val="28"/>
            </w:rPr>
            <w:t>149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8FB4B0D">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_Toc29325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26.2 竣工验收合格后的移交和清理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_Toc29325 \h </w:instrText>
          </w:r>
          <w:r>
            <w:rPr>
              <w:rFonts w:hint="eastAsia" w:ascii="仿宋" w:hAnsi="仿宋" w:eastAsia="仿宋" w:cs="仿宋"/>
              <w:sz w:val="28"/>
              <w:szCs w:val="28"/>
            </w:rPr>
            <w:fldChar w:fldCharType="separate"/>
          </w:r>
          <w:r>
            <w:rPr>
              <w:rFonts w:hint="eastAsia" w:ascii="仿宋" w:hAnsi="仿宋" w:eastAsia="仿宋" w:cs="仿宋"/>
              <w:sz w:val="28"/>
              <w:szCs w:val="28"/>
            </w:rPr>
            <w:t>149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F399B2C">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_Toc10622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26.3 竣工验收质量不合格和重新验收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_Toc10622 \h </w:instrText>
          </w:r>
          <w:r>
            <w:rPr>
              <w:rFonts w:hint="eastAsia" w:ascii="仿宋" w:hAnsi="仿宋" w:eastAsia="仿宋" w:cs="仿宋"/>
              <w:sz w:val="28"/>
              <w:szCs w:val="28"/>
            </w:rPr>
            <w:fldChar w:fldCharType="separate"/>
          </w:r>
          <w:r>
            <w:rPr>
              <w:rFonts w:hint="eastAsia" w:ascii="仿宋" w:hAnsi="仿宋" w:eastAsia="仿宋" w:cs="仿宋"/>
              <w:sz w:val="28"/>
              <w:szCs w:val="28"/>
            </w:rPr>
            <w:t>150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47E3E8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_Toc11324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26.6 竣工验收工程质量争议处理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_Toc11324 \h </w:instrText>
          </w:r>
          <w:r>
            <w:rPr>
              <w:rFonts w:hint="eastAsia" w:ascii="仿宋" w:hAnsi="仿宋" w:eastAsia="仿宋" w:cs="仿宋"/>
              <w:sz w:val="28"/>
              <w:szCs w:val="28"/>
            </w:rPr>
            <w:fldChar w:fldCharType="separate"/>
          </w:r>
          <w:r>
            <w:rPr>
              <w:rFonts w:hint="eastAsia" w:ascii="仿宋" w:hAnsi="仿宋" w:eastAsia="仿宋" w:cs="仿宋"/>
              <w:sz w:val="28"/>
              <w:szCs w:val="28"/>
            </w:rPr>
            <w:t>150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ACF692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_Toc25343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26.7 履约评价与优质优价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_Toc25343 \h </w:instrText>
          </w:r>
          <w:r>
            <w:rPr>
              <w:rFonts w:hint="eastAsia" w:ascii="仿宋" w:hAnsi="仿宋" w:eastAsia="仿宋" w:cs="仿宋"/>
              <w:sz w:val="28"/>
              <w:szCs w:val="28"/>
            </w:rPr>
            <w:fldChar w:fldCharType="separate"/>
          </w:r>
          <w:r>
            <w:rPr>
              <w:rFonts w:hint="eastAsia" w:ascii="仿宋" w:hAnsi="仿宋" w:eastAsia="仿宋" w:cs="仿宋"/>
              <w:sz w:val="28"/>
              <w:szCs w:val="28"/>
            </w:rPr>
            <w:t>150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A1EA4A6">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_Toc8372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27 竣工结算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_Toc8372 \h </w:instrText>
          </w:r>
          <w:r>
            <w:rPr>
              <w:rFonts w:hint="eastAsia" w:ascii="仿宋" w:hAnsi="仿宋" w:eastAsia="仿宋" w:cs="仿宋"/>
              <w:sz w:val="28"/>
              <w:szCs w:val="28"/>
            </w:rPr>
            <w:fldChar w:fldCharType="separate"/>
          </w:r>
          <w:r>
            <w:rPr>
              <w:rFonts w:hint="eastAsia" w:ascii="仿宋" w:hAnsi="仿宋" w:eastAsia="仿宋" w:cs="仿宋"/>
              <w:sz w:val="28"/>
              <w:szCs w:val="28"/>
            </w:rPr>
            <w:t>151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B47D998">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_Toc9417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27.1 竣工结算书的编制和提交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_Toc9417 \h </w:instrText>
          </w:r>
          <w:r>
            <w:rPr>
              <w:rFonts w:hint="eastAsia" w:ascii="仿宋" w:hAnsi="仿宋" w:eastAsia="仿宋" w:cs="仿宋"/>
              <w:sz w:val="28"/>
              <w:szCs w:val="28"/>
            </w:rPr>
            <w:fldChar w:fldCharType="separate"/>
          </w:r>
          <w:r>
            <w:rPr>
              <w:rFonts w:hint="eastAsia" w:ascii="仿宋" w:hAnsi="仿宋" w:eastAsia="仿宋" w:cs="仿宋"/>
              <w:sz w:val="28"/>
              <w:szCs w:val="28"/>
            </w:rPr>
            <w:t>151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720E6D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_Toc30561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27.2 竣工结算书的核对和修改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_Toc30561 \h </w:instrText>
          </w:r>
          <w:r>
            <w:rPr>
              <w:rFonts w:hint="eastAsia" w:ascii="仿宋" w:hAnsi="仿宋" w:eastAsia="仿宋" w:cs="仿宋"/>
              <w:sz w:val="28"/>
              <w:szCs w:val="28"/>
            </w:rPr>
            <w:fldChar w:fldCharType="separate"/>
          </w:r>
          <w:r>
            <w:rPr>
              <w:rFonts w:hint="eastAsia" w:ascii="仿宋" w:hAnsi="仿宋" w:eastAsia="仿宋" w:cs="仿宋"/>
              <w:sz w:val="28"/>
              <w:szCs w:val="28"/>
            </w:rPr>
            <w:t>151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2508E0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_Toc24514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27.3 竣工结算书核对次数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_Toc24514 \h </w:instrText>
          </w:r>
          <w:r>
            <w:rPr>
              <w:rFonts w:hint="eastAsia" w:ascii="仿宋" w:hAnsi="仿宋" w:eastAsia="仿宋" w:cs="仿宋"/>
              <w:sz w:val="28"/>
              <w:szCs w:val="28"/>
            </w:rPr>
            <w:fldChar w:fldCharType="separate"/>
          </w:r>
          <w:r>
            <w:rPr>
              <w:rFonts w:hint="eastAsia" w:ascii="仿宋" w:hAnsi="仿宋" w:eastAsia="仿宋" w:cs="仿宋"/>
              <w:sz w:val="28"/>
              <w:szCs w:val="28"/>
            </w:rPr>
            <w:t>151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C1B8ED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_Toc20497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27.4 承包人不提交竣工结算书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_Toc20497 \h </w:instrText>
          </w:r>
          <w:r>
            <w:rPr>
              <w:rFonts w:hint="eastAsia" w:ascii="仿宋" w:hAnsi="仿宋" w:eastAsia="仿宋" w:cs="仿宋"/>
              <w:sz w:val="28"/>
              <w:szCs w:val="28"/>
            </w:rPr>
            <w:fldChar w:fldCharType="separate"/>
          </w:r>
          <w:r>
            <w:rPr>
              <w:rFonts w:hint="eastAsia" w:ascii="仿宋" w:hAnsi="仿宋" w:eastAsia="仿宋" w:cs="仿宋"/>
              <w:sz w:val="28"/>
              <w:szCs w:val="28"/>
            </w:rPr>
            <w:t>151</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9519FD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_Toc25852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27.5 发包人逾期不结算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_Toc25852 \h </w:instrText>
          </w:r>
          <w:r>
            <w:rPr>
              <w:rFonts w:hint="eastAsia" w:ascii="仿宋" w:hAnsi="仿宋" w:eastAsia="仿宋" w:cs="仿宋"/>
              <w:sz w:val="28"/>
              <w:szCs w:val="28"/>
            </w:rPr>
            <w:fldChar w:fldCharType="separate"/>
          </w:r>
          <w:r>
            <w:rPr>
              <w:rFonts w:hint="eastAsia" w:ascii="仿宋" w:hAnsi="仿宋" w:eastAsia="仿宋" w:cs="仿宋"/>
              <w:sz w:val="28"/>
              <w:szCs w:val="28"/>
            </w:rPr>
            <w:t>152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4C4684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_Toc3621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27.6 竣工结算审计或审核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152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0F1F2B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_Toc20126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27.8 最终结清申请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_Toc20126 \h </w:instrText>
          </w:r>
          <w:r>
            <w:rPr>
              <w:rFonts w:hint="eastAsia" w:ascii="仿宋" w:hAnsi="仿宋" w:eastAsia="仿宋" w:cs="仿宋"/>
              <w:sz w:val="28"/>
              <w:szCs w:val="28"/>
            </w:rPr>
            <w:fldChar w:fldCharType="separate"/>
          </w:r>
          <w:r>
            <w:rPr>
              <w:rFonts w:hint="eastAsia" w:ascii="仿宋" w:hAnsi="仿宋" w:eastAsia="仿宋" w:cs="仿宋"/>
              <w:sz w:val="28"/>
              <w:szCs w:val="28"/>
            </w:rPr>
            <w:t>152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8D5710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_Toc15941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27.9 最终结清证书和支付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_Toc15941 \h </w:instrText>
          </w:r>
          <w:r>
            <w:rPr>
              <w:rFonts w:hint="eastAsia" w:ascii="仿宋" w:hAnsi="仿宋" w:eastAsia="仿宋" w:cs="仿宋"/>
              <w:sz w:val="28"/>
              <w:szCs w:val="28"/>
            </w:rPr>
            <w:fldChar w:fldCharType="separate"/>
          </w:r>
          <w:r>
            <w:rPr>
              <w:rFonts w:hint="eastAsia" w:ascii="仿宋" w:hAnsi="仿宋" w:eastAsia="仿宋" w:cs="仿宋"/>
              <w:sz w:val="28"/>
              <w:szCs w:val="28"/>
            </w:rPr>
            <w:t>152</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EAAFED">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_Toc27976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28 违约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_Toc27976 \h </w:instrText>
          </w:r>
          <w:r>
            <w:rPr>
              <w:rFonts w:hint="eastAsia" w:ascii="仿宋" w:hAnsi="仿宋" w:eastAsia="仿宋" w:cs="仿宋"/>
              <w:sz w:val="28"/>
              <w:szCs w:val="28"/>
            </w:rPr>
            <w:fldChar w:fldCharType="separate"/>
          </w:r>
          <w:r>
            <w:rPr>
              <w:rFonts w:hint="eastAsia" w:ascii="仿宋" w:hAnsi="仿宋" w:eastAsia="仿宋" w:cs="仿宋"/>
              <w:sz w:val="28"/>
              <w:szCs w:val="28"/>
            </w:rPr>
            <w:t>153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E4C1F8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_Toc29382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28.1 发包人违约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_Toc29382 \h </w:instrText>
          </w:r>
          <w:r>
            <w:rPr>
              <w:rFonts w:hint="eastAsia" w:ascii="仿宋" w:hAnsi="仿宋" w:eastAsia="仿宋" w:cs="仿宋"/>
              <w:sz w:val="28"/>
              <w:szCs w:val="28"/>
            </w:rPr>
            <w:fldChar w:fldCharType="separate"/>
          </w:r>
          <w:r>
            <w:rPr>
              <w:rFonts w:hint="eastAsia" w:ascii="仿宋" w:hAnsi="仿宋" w:eastAsia="仿宋" w:cs="仿宋"/>
              <w:sz w:val="28"/>
              <w:szCs w:val="28"/>
            </w:rPr>
            <w:t>153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5878FA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_Toc17769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28.2 承包人违约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_Toc17769 \h </w:instrText>
          </w:r>
          <w:r>
            <w:rPr>
              <w:rFonts w:hint="eastAsia" w:ascii="仿宋" w:hAnsi="仿宋" w:eastAsia="仿宋" w:cs="仿宋"/>
              <w:sz w:val="28"/>
              <w:szCs w:val="28"/>
            </w:rPr>
            <w:fldChar w:fldCharType="separate"/>
          </w:r>
          <w:r>
            <w:rPr>
              <w:rFonts w:hint="eastAsia" w:ascii="仿宋" w:hAnsi="仿宋" w:eastAsia="仿宋" w:cs="仿宋"/>
              <w:sz w:val="28"/>
              <w:szCs w:val="28"/>
            </w:rPr>
            <w:t>154</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D98BCD4">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_Toc5149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29 索赔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_Toc5149 \h </w:instrText>
          </w:r>
          <w:r>
            <w:rPr>
              <w:rFonts w:hint="eastAsia" w:ascii="仿宋" w:hAnsi="仿宋" w:eastAsia="仿宋" w:cs="仿宋"/>
              <w:sz w:val="28"/>
              <w:szCs w:val="28"/>
            </w:rPr>
            <w:fldChar w:fldCharType="separate"/>
          </w:r>
          <w:r>
            <w:rPr>
              <w:rFonts w:hint="eastAsia" w:ascii="仿宋" w:hAnsi="仿宋" w:eastAsia="仿宋" w:cs="仿宋"/>
              <w:sz w:val="28"/>
              <w:szCs w:val="28"/>
            </w:rPr>
            <w:t>155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C1DC293">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_Toc17495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29.3 发包人索赔情形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_Toc17495 \h </w:instrText>
          </w:r>
          <w:r>
            <w:rPr>
              <w:rFonts w:hint="eastAsia" w:ascii="仿宋" w:hAnsi="仿宋" w:eastAsia="仿宋" w:cs="仿宋"/>
              <w:sz w:val="28"/>
              <w:szCs w:val="28"/>
            </w:rPr>
            <w:fldChar w:fldCharType="separate"/>
          </w:r>
          <w:r>
            <w:rPr>
              <w:rFonts w:hint="eastAsia" w:ascii="仿宋" w:hAnsi="仿宋" w:eastAsia="仿宋" w:cs="仿宋"/>
              <w:sz w:val="28"/>
              <w:szCs w:val="28"/>
            </w:rPr>
            <w:t>155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6C19A3B">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_Toc19992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29.5 承包人索赔情形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_Toc19992 \h </w:instrText>
          </w:r>
          <w:r>
            <w:rPr>
              <w:rFonts w:hint="eastAsia" w:ascii="仿宋" w:hAnsi="仿宋" w:eastAsia="仿宋" w:cs="仿宋"/>
              <w:sz w:val="28"/>
              <w:szCs w:val="28"/>
            </w:rPr>
            <w:fldChar w:fldCharType="separate"/>
          </w:r>
          <w:r>
            <w:rPr>
              <w:rFonts w:hint="eastAsia" w:ascii="仿宋" w:hAnsi="仿宋" w:eastAsia="仿宋" w:cs="仿宋"/>
              <w:sz w:val="28"/>
              <w:szCs w:val="28"/>
            </w:rPr>
            <w:t>155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44A1DBF">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_Toc21300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30 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_Toc21300 \h </w:instrText>
          </w:r>
          <w:r>
            <w:rPr>
              <w:rFonts w:hint="eastAsia" w:ascii="仿宋" w:hAnsi="仿宋" w:eastAsia="仿宋" w:cs="仿宋"/>
              <w:sz w:val="28"/>
              <w:szCs w:val="28"/>
            </w:rPr>
            <w:fldChar w:fldCharType="separate"/>
          </w:r>
          <w:r>
            <w:rPr>
              <w:rFonts w:hint="eastAsia" w:ascii="仿宋" w:hAnsi="仿宋" w:eastAsia="仿宋" w:cs="仿宋"/>
              <w:sz w:val="28"/>
              <w:szCs w:val="28"/>
            </w:rPr>
            <w:t>155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3E81FBA">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_Toc18358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30.1 争议的解决方式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_Toc18358 \h </w:instrText>
          </w:r>
          <w:r>
            <w:rPr>
              <w:rFonts w:hint="eastAsia" w:ascii="仿宋" w:hAnsi="仿宋" w:eastAsia="仿宋" w:cs="仿宋"/>
              <w:sz w:val="28"/>
              <w:szCs w:val="28"/>
            </w:rPr>
            <w:fldChar w:fldCharType="separate"/>
          </w:r>
          <w:r>
            <w:rPr>
              <w:rFonts w:hint="eastAsia" w:ascii="仿宋" w:hAnsi="仿宋" w:eastAsia="仿宋" w:cs="仿宋"/>
              <w:sz w:val="28"/>
              <w:szCs w:val="28"/>
            </w:rPr>
            <w:t>155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C0D3750">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_Toc24030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31 工程质量缺陷保修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_Toc24030 \h </w:instrText>
          </w:r>
          <w:r>
            <w:rPr>
              <w:rFonts w:hint="eastAsia" w:ascii="仿宋" w:hAnsi="仿宋" w:eastAsia="仿宋" w:cs="仿宋"/>
              <w:sz w:val="28"/>
              <w:szCs w:val="28"/>
            </w:rPr>
            <w:fldChar w:fldCharType="separate"/>
          </w:r>
          <w:r>
            <w:rPr>
              <w:rFonts w:hint="eastAsia" w:ascii="仿宋" w:hAnsi="仿宋" w:eastAsia="仿宋" w:cs="仿宋"/>
              <w:sz w:val="28"/>
              <w:szCs w:val="28"/>
            </w:rPr>
            <w:t>155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0F36F63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31.2 缺陷责任期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_Toc717 \h </w:instrText>
          </w:r>
          <w:r>
            <w:rPr>
              <w:rFonts w:hint="eastAsia" w:ascii="仿宋" w:hAnsi="仿宋" w:eastAsia="仿宋" w:cs="仿宋"/>
              <w:sz w:val="28"/>
              <w:szCs w:val="28"/>
            </w:rPr>
            <w:fldChar w:fldCharType="separate"/>
          </w:r>
          <w:r>
            <w:rPr>
              <w:rFonts w:hint="eastAsia" w:ascii="仿宋" w:hAnsi="仿宋" w:eastAsia="仿宋" w:cs="仿宋"/>
              <w:sz w:val="28"/>
              <w:szCs w:val="28"/>
            </w:rPr>
            <w:t>155</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4393F5A7">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_Toc22141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31.3 质量保证金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_Toc22141 \h </w:instrText>
          </w:r>
          <w:r>
            <w:rPr>
              <w:rFonts w:hint="eastAsia" w:ascii="仿宋" w:hAnsi="仿宋" w:eastAsia="仿宋" w:cs="仿宋"/>
              <w:sz w:val="28"/>
              <w:szCs w:val="28"/>
            </w:rPr>
            <w:fldChar w:fldCharType="separate"/>
          </w:r>
          <w:r>
            <w:rPr>
              <w:rFonts w:hint="eastAsia" w:ascii="仿宋" w:hAnsi="仿宋" w:eastAsia="仿宋" w:cs="仿宋"/>
              <w:sz w:val="28"/>
              <w:szCs w:val="28"/>
            </w:rPr>
            <w:t>156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5C9C249">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_Toc27109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31.4 保修责任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_Toc27109 \h </w:instrText>
          </w:r>
          <w:r>
            <w:rPr>
              <w:rFonts w:hint="eastAsia" w:ascii="仿宋" w:hAnsi="仿宋" w:eastAsia="仿宋" w:cs="仿宋"/>
              <w:sz w:val="28"/>
              <w:szCs w:val="28"/>
            </w:rPr>
            <w:fldChar w:fldCharType="separate"/>
          </w:r>
          <w:r>
            <w:rPr>
              <w:rFonts w:hint="eastAsia" w:ascii="仿宋" w:hAnsi="仿宋" w:eastAsia="仿宋" w:cs="仿宋"/>
              <w:sz w:val="28"/>
              <w:szCs w:val="28"/>
            </w:rPr>
            <w:t>156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92AAA3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_Toc17010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31.6 修复通知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_Toc17010 \h </w:instrText>
          </w:r>
          <w:r>
            <w:rPr>
              <w:rFonts w:hint="eastAsia" w:ascii="仿宋" w:hAnsi="仿宋" w:eastAsia="仿宋" w:cs="仿宋"/>
              <w:sz w:val="28"/>
              <w:szCs w:val="28"/>
            </w:rPr>
            <w:fldChar w:fldCharType="separate"/>
          </w:r>
          <w:r>
            <w:rPr>
              <w:rFonts w:hint="eastAsia" w:ascii="仿宋" w:hAnsi="仿宋" w:eastAsia="仿宋" w:cs="仿宋"/>
              <w:sz w:val="28"/>
              <w:szCs w:val="28"/>
            </w:rPr>
            <w:t>156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D0CDC69">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_Toc1523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32 不可抗力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_Toc1523 \h </w:instrText>
          </w:r>
          <w:r>
            <w:rPr>
              <w:rFonts w:hint="eastAsia" w:ascii="仿宋" w:hAnsi="仿宋" w:eastAsia="仿宋" w:cs="仿宋"/>
              <w:sz w:val="28"/>
              <w:szCs w:val="28"/>
            </w:rPr>
            <w:fldChar w:fldCharType="separate"/>
          </w:r>
          <w:r>
            <w:rPr>
              <w:rFonts w:hint="eastAsia" w:ascii="仿宋" w:hAnsi="仿宋" w:eastAsia="仿宋" w:cs="仿宋"/>
              <w:sz w:val="28"/>
              <w:szCs w:val="28"/>
            </w:rPr>
            <w:t>156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24D5066">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32.1 不可抗力包括范围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_Toc935 \h </w:instrText>
          </w:r>
          <w:r>
            <w:rPr>
              <w:rFonts w:hint="eastAsia" w:ascii="仿宋" w:hAnsi="仿宋" w:eastAsia="仿宋" w:cs="仿宋"/>
              <w:sz w:val="28"/>
              <w:szCs w:val="28"/>
            </w:rPr>
            <w:fldChar w:fldCharType="separate"/>
          </w:r>
          <w:r>
            <w:rPr>
              <w:rFonts w:hint="eastAsia" w:ascii="仿宋" w:hAnsi="仿宋" w:eastAsia="仿宋" w:cs="仿宋"/>
              <w:sz w:val="28"/>
              <w:szCs w:val="28"/>
            </w:rPr>
            <w:t>156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1A9E463">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_Toc25301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33 工程保险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_Toc25301 \h </w:instrText>
          </w:r>
          <w:r>
            <w:rPr>
              <w:rFonts w:hint="eastAsia" w:ascii="仿宋" w:hAnsi="仿宋" w:eastAsia="仿宋" w:cs="仿宋"/>
              <w:sz w:val="28"/>
              <w:szCs w:val="28"/>
            </w:rPr>
            <w:fldChar w:fldCharType="separate"/>
          </w:r>
          <w:r>
            <w:rPr>
              <w:rFonts w:hint="eastAsia" w:ascii="仿宋" w:hAnsi="仿宋" w:eastAsia="仿宋" w:cs="仿宋"/>
              <w:sz w:val="28"/>
              <w:szCs w:val="28"/>
            </w:rPr>
            <w:t>156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8F1EE05">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_Toc27036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33.1 发包人办理的保险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_Toc27036 \h </w:instrText>
          </w:r>
          <w:r>
            <w:rPr>
              <w:rFonts w:hint="eastAsia" w:ascii="仿宋" w:hAnsi="仿宋" w:eastAsia="仿宋" w:cs="仿宋"/>
              <w:sz w:val="28"/>
              <w:szCs w:val="28"/>
            </w:rPr>
            <w:fldChar w:fldCharType="separate"/>
          </w:r>
          <w:r>
            <w:rPr>
              <w:rFonts w:hint="eastAsia" w:ascii="仿宋" w:hAnsi="仿宋" w:eastAsia="仿宋" w:cs="仿宋"/>
              <w:sz w:val="28"/>
              <w:szCs w:val="28"/>
            </w:rPr>
            <w:t>156</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9929BFB">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_Toc8382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34 工程担保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_Toc8382 \h </w:instrText>
          </w:r>
          <w:r>
            <w:rPr>
              <w:rFonts w:hint="eastAsia" w:ascii="仿宋" w:hAnsi="仿宋" w:eastAsia="仿宋" w:cs="仿宋"/>
              <w:sz w:val="28"/>
              <w:szCs w:val="28"/>
            </w:rPr>
            <w:fldChar w:fldCharType="separate"/>
          </w:r>
          <w:r>
            <w:rPr>
              <w:rFonts w:hint="eastAsia" w:ascii="仿宋" w:hAnsi="仿宋" w:eastAsia="仿宋" w:cs="仿宋"/>
              <w:sz w:val="28"/>
              <w:szCs w:val="28"/>
            </w:rPr>
            <w:t>157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11872F2">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_Toc12199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34.1 履约担保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_Toc12199 \h </w:instrText>
          </w:r>
          <w:r>
            <w:rPr>
              <w:rFonts w:hint="eastAsia" w:ascii="仿宋" w:hAnsi="仿宋" w:eastAsia="仿宋" w:cs="仿宋"/>
              <w:sz w:val="28"/>
              <w:szCs w:val="28"/>
            </w:rPr>
            <w:fldChar w:fldCharType="separate"/>
          </w:r>
          <w:r>
            <w:rPr>
              <w:rFonts w:hint="eastAsia" w:ascii="仿宋" w:hAnsi="仿宋" w:eastAsia="仿宋" w:cs="仿宋"/>
              <w:sz w:val="28"/>
              <w:szCs w:val="28"/>
            </w:rPr>
            <w:t>157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9F6E44F">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_Toc25074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34.2支付担保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_Toc25074 \h </w:instrText>
          </w:r>
          <w:r>
            <w:rPr>
              <w:rFonts w:hint="eastAsia" w:ascii="仿宋" w:hAnsi="仿宋" w:eastAsia="仿宋" w:cs="仿宋"/>
              <w:sz w:val="28"/>
              <w:szCs w:val="28"/>
            </w:rPr>
            <w:fldChar w:fldCharType="separate"/>
          </w:r>
          <w:r>
            <w:rPr>
              <w:rFonts w:hint="eastAsia" w:ascii="仿宋" w:hAnsi="仿宋" w:eastAsia="仿宋" w:cs="仿宋"/>
              <w:sz w:val="28"/>
              <w:szCs w:val="28"/>
            </w:rPr>
            <w:t>157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160F4EA9">
          <w:pPr>
            <w:pStyle w:val="37"/>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_Toc31279 </w:instrText>
          </w:r>
          <w:r>
            <w:rPr>
              <w:rFonts w:hint="eastAsia" w:ascii="仿宋" w:hAnsi="仿宋" w:eastAsia="仿宋" w:cs="仿宋"/>
              <w:sz w:val="28"/>
              <w:szCs w:val="28"/>
              <w:highlight w:val="none"/>
            </w:rPr>
            <w:fldChar w:fldCharType="separate"/>
          </w:r>
          <w:r>
            <w:rPr>
              <w:rFonts w:hint="eastAsia" w:ascii="仿宋" w:hAnsi="仿宋" w:eastAsia="仿宋" w:cs="仿宋"/>
              <w:bCs w:val="0"/>
              <w:snapToGrid w:val="0"/>
              <w:kern w:val="0"/>
              <w:sz w:val="28"/>
              <w:szCs w:val="28"/>
              <w:highlight w:val="none"/>
            </w:rPr>
            <w:t>36 合同份数与合同备案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_Toc31279 \h </w:instrText>
          </w:r>
          <w:r>
            <w:rPr>
              <w:rFonts w:hint="eastAsia" w:ascii="仿宋" w:hAnsi="仿宋" w:eastAsia="仿宋" w:cs="仿宋"/>
              <w:sz w:val="28"/>
              <w:szCs w:val="28"/>
            </w:rPr>
            <w:fldChar w:fldCharType="separate"/>
          </w:r>
          <w:r>
            <w:rPr>
              <w:rFonts w:hint="eastAsia" w:ascii="仿宋" w:hAnsi="仿宋" w:eastAsia="仿宋" w:cs="仿宋"/>
              <w:sz w:val="28"/>
              <w:szCs w:val="28"/>
            </w:rPr>
            <w:t>157</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72EA2D31">
          <w:pPr>
            <w:pStyle w:val="25"/>
            <w:pageBreakBefore w:val="0"/>
            <w:tabs>
              <w:tab w:val="right" w:leader="dot" w:pos="8844"/>
            </w:tabs>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_Toc32648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36.1 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_Toc32648 \h </w:instrText>
          </w:r>
          <w:r>
            <w:rPr>
              <w:rFonts w:hint="eastAsia" w:ascii="仿宋" w:hAnsi="仿宋" w:eastAsia="仿宋" w:cs="仿宋"/>
              <w:sz w:val="28"/>
              <w:szCs w:val="28"/>
            </w:rPr>
            <w:fldChar w:fldCharType="separate"/>
          </w:r>
          <w:r>
            <w:rPr>
              <w:rFonts w:hint="eastAsia" w:ascii="仿宋" w:hAnsi="仿宋" w:eastAsia="仿宋" w:cs="仿宋"/>
              <w:sz w:val="28"/>
              <w:szCs w:val="28"/>
            </w:rPr>
            <w:t>158</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D7D9843">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_Toc13055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第四部分  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_Toc13055 \h </w:instrText>
          </w:r>
          <w:r>
            <w:rPr>
              <w:rFonts w:hint="eastAsia" w:ascii="仿宋" w:hAnsi="仿宋" w:eastAsia="仿宋" w:cs="仿宋"/>
              <w:sz w:val="28"/>
              <w:szCs w:val="28"/>
            </w:rPr>
            <w:fldChar w:fldCharType="separate"/>
          </w:r>
          <w:r>
            <w:rPr>
              <w:rFonts w:hint="eastAsia" w:ascii="仿宋" w:hAnsi="仿宋" w:eastAsia="仿宋" w:cs="仿宋"/>
              <w:sz w:val="28"/>
              <w:szCs w:val="28"/>
            </w:rPr>
            <w:t>159</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2B1E5405">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_Toc1286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_Toc1286 \h </w:instrText>
          </w:r>
          <w:r>
            <w:rPr>
              <w:rFonts w:hint="eastAsia" w:ascii="仿宋" w:hAnsi="仿宋" w:eastAsia="仿宋" w:cs="仿宋"/>
              <w:sz w:val="28"/>
              <w:szCs w:val="28"/>
            </w:rPr>
            <w:fldChar w:fldCharType="separate"/>
          </w:r>
          <w:r>
            <w:rPr>
              <w:rFonts w:hint="eastAsia" w:ascii="仿宋" w:hAnsi="仿宋" w:eastAsia="仿宋" w:cs="仿宋"/>
              <w:sz w:val="28"/>
              <w:szCs w:val="28"/>
            </w:rPr>
            <w:t>160</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502E3EA0">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_Toc25817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2：</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_Toc25817 \h </w:instrText>
          </w:r>
          <w:r>
            <w:rPr>
              <w:rFonts w:hint="eastAsia" w:ascii="仿宋" w:hAnsi="仿宋" w:eastAsia="仿宋" w:cs="仿宋"/>
              <w:sz w:val="28"/>
              <w:szCs w:val="28"/>
            </w:rPr>
            <w:fldChar w:fldCharType="separate"/>
          </w:r>
          <w:r>
            <w:rPr>
              <w:rFonts w:hint="eastAsia" w:ascii="仿宋" w:hAnsi="仿宋" w:eastAsia="仿宋" w:cs="仿宋"/>
              <w:sz w:val="28"/>
              <w:szCs w:val="28"/>
            </w:rPr>
            <w:t>163</w:t>
          </w:r>
          <w:r>
            <w:rPr>
              <w:rFonts w:hint="eastAsia" w:ascii="仿宋" w:hAnsi="仿宋" w:eastAsia="仿宋" w:cs="仿宋"/>
              <w:sz w:val="28"/>
              <w:szCs w:val="28"/>
            </w:rPr>
            <w:fldChar w:fldCharType="end"/>
          </w:r>
          <w:r>
            <w:rPr>
              <w:rFonts w:hint="eastAsia" w:ascii="仿宋" w:hAnsi="仿宋" w:eastAsia="仿宋" w:cs="仿宋"/>
              <w:sz w:val="28"/>
              <w:szCs w:val="28"/>
              <w:highlight w:val="none"/>
            </w:rPr>
            <w:fldChar w:fldCharType="end"/>
          </w:r>
        </w:p>
        <w:p w14:paraId="35DA6B8A">
          <w:pPr>
            <w:pStyle w:val="31"/>
            <w:pageBreakBefore w:val="0"/>
            <w:tabs>
              <w:tab w:val="right" w:leader="dot" w:pos="8844"/>
            </w:tabs>
            <w:kinsoku/>
            <w:overflowPunct/>
            <w:topLinePunct w:val="0"/>
            <w:autoSpaceDE/>
            <w:autoSpaceDN/>
            <w:bidi w:val="0"/>
            <w:adjustRightInd w:val="0"/>
            <w:snapToGrid w:val="0"/>
            <w:spacing w:before="0" w:after="0" w:line="560" w:lineRule="exact"/>
            <w:ind w:left="0" w:leftChars="0" w:right="0" w:right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end"/>
          </w:r>
        </w:p>
      </w:sdtContent>
    </w:sdt>
    <w:p w14:paraId="194F9942">
      <w:pPr>
        <w:pStyle w:val="3"/>
        <w:keepNext w:val="0"/>
        <w:keepLines w:val="0"/>
        <w:pageBreakBefore w:val="0"/>
        <w:widowControl w:val="0"/>
        <w:kinsoku/>
        <w:overflowPunct/>
        <w:topLinePunct w:val="0"/>
        <w:autoSpaceDE/>
        <w:autoSpaceDN/>
        <w:bidi w:val="0"/>
        <w:adjustRightInd w:val="0"/>
        <w:snapToGrid w:val="0"/>
        <w:spacing w:before="0" w:beforeLines="0" w:after="0" w:afterLines="0" w:line="560" w:lineRule="exact"/>
        <w:ind w:left="378" w:leftChars="0" w:right="0" w:rightChars="0" w:hanging="378" w:hangingChars="135"/>
        <w:jc w:val="center"/>
        <w:textAlignment w:val="auto"/>
        <w:outlineLvl w:val="9"/>
        <w:rPr>
          <w:rFonts w:hint="eastAsia" w:ascii="仿宋" w:hAnsi="仿宋" w:eastAsia="仿宋" w:cs="仿宋"/>
          <w:b w:val="0"/>
          <w:sz w:val="28"/>
          <w:szCs w:val="28"/>
          <w:highlight w:val="none"/>
        </w:rPr>
        <w:sectPr>
          <w:footerReference r:id="rId5" w:type="default"/>
          <w:pgSz w:w="11906" w:h="16838"/>
          <w:pgMar w:top="1814" w:right="1474" w:bottom="1814" w:left="1588" w:header="851" w:footer="992" w:gutter="0"/>
          <w:pgNumType w:fmt="decimal"/>
          <w:cols w:space="425" w:num="1"/>
          <w:docGrid w:type="lines" w:linePitch="312" w:charSpace="0"/>
        </w:sectPr>
      </w:pPr>
    </w:p>
    <w:p w14:paraId="7CE64811">
      <w:pPr>
        <w:pStyle w:val="3"/>
        <w:keepNext w:val="0"/>
        <w:keepLines w:val="0"/>
        <w:pageBreakBefore w:val="0"/>
        <w:widowControl w:val="0"/>
        <w:kinsoku/>
        <w:overflowPunct/>
        <w:topLinePunct w:val="0"/>
        <w:autoSpaceDE/>
        <w:autoSpaceDN/>
        <w:bidi w:val="0"/>
        <w:adjustRightInd w:val="0"/>
        <w:snapToGrid w:val="0"/>
        <w:spacing w:before="0" w:beforeLines="0" w:after="0" w:afterLines="0" w:line="560" w:lineRule="exact"/>
        <w:ind w:left="594" w:leftChars="0" w:right="0" w:rightChars="0" w:hanging="594" w:hangingChars="135"/>
        <w:jc w:val="center"/>
        <w:textAlignment w:val="auto"/>
        <w:rPr>
          <w:rFonts w:hint="eastAsia" w:asciiTheme="majorEastAsia" w:hAnsiTheme="majorEastAsia" w:eastAsiaTheme="majorEastAsia" w:cstheme="majorEastAsia"/>
          <w:b w:val="0"/>
          <w:sz w:val="44"/>
          <w:szCs w:val="44"/>
          <w:highlight w:val="none"/>
        </w:rPr>
      </w:pPr>
      <w:bookmarkStart w:id="18" w:name="_Toc29356"/>
      <w:r>
        <w:rPr>
          <w:rFonts w:hint="eastAsia" w:asciiTheme="majorEastAsia" w:hAnsiTheme="majorEastAsia" w:eastAsiaTheme="majorEastAsia" w:cstheme="majorEastAsia"/>
          <w:b w:val="0"/>
          <w:sz w:val="44"/>
          <w:szCs w:val="44"/>
          <w:highlight w:val="none"/>
        </w:rPr>
        <w:t>第一部分  协议书</w:t>
      </w:r>
      <w:bookmarkEnd w:id="18"/>
    </w:p>
    <w:p w14:paraId="27375BF4">
      <w:pPr>
        <w:pageBreakBefore w:val="0"/>
        <w:kinsoku/>
        <w:overflowPunct/>
        <w:topLinePunct w:val="0"/>
        <w:autoSpaceDE/>
        <w:autoSpaceDN/>
        <w:bidi w:val="0"/>
        <w:adjustRightInd w:val="0"/>
        <w:snapToGrid w:val="0"/>
        <w:spacing w:line="560" w:lineRule="exact"/>
        <w:ind w:left="0" w:leftChars="0" w:right="0" w:rightChars="0" w:firstLine="562"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
          <w:bCs/>
          <w:sz w:val="28"/>
          <w:szCs w:val="28"/>
          <w:highlight w:val="none"/>
        </w:rPr>
        <w:t>发包人</w:t>
      </w:r>
      <w:r>
        <w:rPr>
          <w:rFonts w:hint="eastAsia" w:ascii="仿宋_GB2312" w:hAnsi="仿宋_GB2312" w:eastAsia="仿宋_GB2312" w:cs="仿宋_GB2312"/>
          <w:bCs/>
          <w:sz w:val="28"/>
          <w:szCs w:val="28"/>
          <w:highlight w:val="none"/>
        </w:rPr>
        <w:t>(全称)：</w:t>
      </w:r>
      <w:r>
        <w:rPr>
          <w:rFonts w:hint="eastAsia" w:ascii="仿宋_GB2312" w:hAnsi="仿宋_GB2312" w:eastAsia="仿宋_GB2312" w:cs="仿宋_GB2312"/>
          <w:sz w:val="28"/>
          <w:szCs w:val="28"/>
          <w:highlight w:val="none"/>
          <w:u w:val="single"/>
        </w:rPr>
        <w:t>______________________________________</w:t>
      </w:r>
    </w:p>
    <w:p w14:paraId="4176FD5B">
      <w:pPr>
        <w:pageBreakBefore w:val="0"/>
        <w:kinsoku/>
        <w:overflowPunct/>
        <w:topLinePunct w:val="0"/>
        <w:autoSpaceDE/>
        <w:autoSpaceDN/>
        <w:bidi w:val="0"/>
        <w:adjustRightInd w:val="0"/>
        <w:snapToGrid w:val="0"/>
        <w:spacing w:line="560" w:lineRule="exact"/>
        <w:ind w:left="0" w:leftChars="0" w:right="0" w:rightChars="0" w:firstLine="562"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
          <w:bCs/>
          <w:sz w:val="28"/>
          <w:szCs w:val="28"/>
          <w:highlight w:val="none"/>
        </w:rPr>
        <w:t>承包人</w:t>
      </w:r>
      <w:r>
        <w:rPr>
          <w:rFonts w:hint="eastAsia" w:ascii="仿宋_GB2312" w:hAnsi="仿宋_GB2312" w:eastAsia="仿宋_GB2312" w:cs="仿宋_GB2312"/>
          <w:bCs/>
          <w:sz w:val="28"/>
          <w:szCs w:val="28"/>
          <w:highlight w:val="none"/>
        </w:rPr>
        <w:t>(全称)</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sz w:val="28"/>
          <w:szCs w:val="28"/>
          <w:highlight w:val="none"/>
          <w:u w:val="single"/>
        </w:rPr>
        <w:t>______________________________________</w:t>
      </w:r>
    </w:p>
    <w:p w14:paraId="1C829F05">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rPr>
        <w:t>》、《中华人民共和国建筑法》、《深圳经济特区建设工程施工招标投标条例》及其他有关法律、法规，遵循平等、自愿、公平和诚实信用的原则，发包人和承包人就本工程施工事项协商一致，订立本合同，达成协议如下：</w:t>
      </w:r>
    </w:p>
    <w:p w14:paraId="578BE25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1"/>
        <w:rPr>
          <w:rFonts w:ascii="仿宋_GB2312" w:hAnsi="仿宋_GB2312" w:eastAsia="仿宋_GB2312" w:cs="仿宋_GB2312"/>
          <w:b/>
          <w:bCs/>
          <w:sz w:val="32"/>
          <w:szCs w:val="32"/>
          <w:highlight w:val="none"/>
        </w:rPr>
      </w:pPr>
      <w:bookmarkStart w:id="19" w:name="_Toc4131"/>
      <w:r>
        <w:rPr>
          <w:rFonts w:hint="eastAsia" w:ascii="仿宋_GB2312" w:hAnsi="仿宋_GB2312" w:eastAsia="仿宋_GB2312" w:cs="仿宋_GB2312"/>
          <w:b/>
          <w:bCs/>
          <w:sz w:val="32"/>
          <w:szCs w:val="32"/>
          <w:highlight w:val="none"/>
        </w:rPr>
        <w:t>一、工程概况</w:t>
      </w:r>
      <w:bookmarkEnd w:id="19"/>
    </w:p>
    <w:p w14:paraId="3F3CF1E7">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工程名称：</w:t>
      </w:r>
      <w:r>
        <w:rPr>
          <w:rFonts w:hint="eastAsia" w:ascii="仿宋_GB2312" w:hAnsi="仿宋_GB2312" w:eastAsia="仿宋_GB2312" w:cs="仿宋_GB2312"/>
          <w:sz w:val="28"/>
          <w:szCs w:val="28"/>
          <w:highlight w:val="none"/>
          <w:u w:val="single"/>
        </w:rPr>
        <w:t>______________________________________</w:t>
      </w:r>
    </w:p>
    <w:p w14:paraId="3090B0F1">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工程地点：</w:t>
      </w:r>
      <w:r>
        <w:rPr>
          <w:rFonts w:hint="eastAsia" w:ascii="仿宋_GB2312" w:hAnsi="仿宋_GB2312" w:eastAsia="仿宋_GB2312" w:cs="仿宋_GB2312"/>
          <w:sz w:val="28"/>
          <w:szCs w:val="28"/>
          <w:highlight w:val="none"/>
          <w:u w:val="single"/>
        </w:rPr>
        <w:t>______________________________________</w:t>
      </w:r>
    </w:p>
    <w:p w14:paraId="2537563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highlight w:val="none"/>
        </w:rPr>
      </w:pPr>
      <w:r>
        <w:rPr>
          <w:rFonts w:hint="eastAsia" w:ascii="仿宋_GB2312" w:hAnsi="仿宋_GB2312" w:eastAsia="仿宋_GB2312" w:cs="仿宋_GB2312"/>
          <w:sz w:val="28"/>
          <w:szCs w:val="28"/>
          <w:highlight w:val="none"/>
        </w:rPr>
        <w:t>核准（备案）证编号：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 xml:space="preserve">         </w:t>
      </w:r>
    </w:p>
    <w:p w14:paraId="1E6611D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工程规模及特征：</w:t>
      </w:r>
      <w:r>
        <w:rPr>
          <w:rFonts w:hint="eastAsia" w:ascii="仿宋_GB2312" w:hAnsi="仿宋_GB2312" w:eastAsia="仿宋_GB2312" w:cs="仿宋_GB2312"/>
          <w:sz w:val="28"/>
          <w:szCs w:val="28"/>
          <w:highlight w:val="none"/>
          <w:u w:val="single"/>
        </w:rPr>
        <w:t>________________________________</w:t>
      </w:r>
    </w:p>
    <w:p w14:paraId="7A0F467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highlight w:val="none"/>
        </w:rPr>
      </w:pPr>
      <w:r>
        <w:rPr>
          <w:rFonts w:hint="eastAsia" w:ascii="仿宋_GB2312" w:hAnsi="仿宋_GB2312" w:eastAsia="仿宋_GB2312" w:cs="仿宋_GB2312"/>
          <w:sz w:val="28"/>
          <w:szCs w:val="28"/>
          <w:highlight w:val="none"/>
        </w:rPr>
        <w:t>资金来源：财政投入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%；国有资本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%；集体资本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%；民营资本</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%；外商投资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%；混合经济</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其他</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rPr>
        <w:t>%。</w:t>
      </w:r>
    </w:p>
    <w:p w14:paraId="6BA1884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1"/>
        <w:rPr>
          <w:rFonts w:ascii="仿宋_GB2312" w:hAnsi="仿宋_GB2312" w:eastAsia="仿宋_GB2312" w:cs="仿宋_GB2312"/>
          <w:b/>
          <w:bCs/>
          <w:sz w:val="32"/>
          <w:szCs w:val="32"/>
          <w:highlight w:val="none"/>
        </w:rPr>
      </w:pPr>
      <w:bookmarkStart w:id="20" w:name="_Toc7240"/>
      <w:r>
        <w:rPr>
          <w:rFonts w:hint="eastAsia" w:ascii="仿宋_GB2312" w:hAnsi="仿宋_GB2312" w:eastAsia="仿宋_GB2312" w:cs="仿宋_GB2312"/>
          <w:b/>
          <w:bCs/>
          <w:sz w:val="32"/>
          <w:szCs w:val="32"/>
          <w:highlight w:val="none"/>
        </w:rPr>
        <w:t>二、工程承包范围</w:t>
      </w:r>
      <w:bookmarkEnd w:id="20"/>
    </w:p>
    <w:p w14:paraId="22D669F2">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____________________________________________________________________________________________________________________________________________________________________________________________________________________________________</w:t>
      </w:r>
    </w:p>
    <w:p w14:paraId="73C8D50A">
      <w:pPr>
        <w:pageBreakBefore w:val="0"/>
        <w:kinsoku/>
        <w:overflowPunct/>
        <w:topLinePunct w:val="0"/>
        <w:autoSpaceDE/>
        <w:autoSpaceDN/>
        <w:bidi w:val="0"/>
        <w:adjustRightInd w:val="0"/>
        <w:snapToGrid w:val="0"/>
        <w:spacing w:line="560" w:lineRule="exact"/>
        <w:ind w:left="0" w:leftChars="0" w:right="0" w:rightChars="0" w:firstLine="562" w:firstLineChars="200"/>
        <w:jc w:val="left"/>
        <w:textAlignment w:val="auto"/>
        <w:outlineLvl w:val="2"/>
        <w:rPr>
          <w:rFonts w:ascii="仿宋_GB2312" w:hAnsi="仿宋_GB2312" w:eastAsia="仿宋_GB2312" w:cs="仿宋_GB2312"/>
          <w:sz w:val="28"/>
          <w:szCs w:val="28"/>
          <w:highlight w:val="none"/>
        </w:rPr>
      </w:pPr>
      <w:bookmarkStart w:id="21" w:name="_Toc7149"/>
      <w:bookmarkStart w:id="22" w:name="_Toc29567"/>
      <w:bookmarkStart w:id="23" w:name="_Toc2493"/>
      <w:r>
        <w:rPr>
          <w:rFonts w:hint="eastAsia" w:ascii="仿宋_GB2312" w:hAnsi="仿宋_GB2312" w:eastAsia="仿宋_GB2312" w:cs="仿宋_GB2312"/>
          <w:b/>
          <w:sz w:val="28"/>
          <w:szCs w:val="28"/>
          <w:highlight w:val="none"/>
        </w:rPr>
        <w:t>1.市政公用及配套专业工程、其他工程：</w:t>
      </w:r>
      <w:r>
        <w:rPr>
          <w:rFonts w:hint="eastAsia" w:ascii="仿宋_GB2312" w:hAnsi="仿宋_GB2312" w:eastAsia="仿宋_GB2312" w:cs="仿宋_GB2312"/>
          <w:sz w:val="28"/>
          <w:szCs w:val="28"/>
          <w:highlight w:val="none"/>
        </w:rPr>
        <w:t>(在□内打√，并填写相应的工程量)</w:t>
      </w:r>
      <w:bookmarkEnd w:id="21"/>
      <w:bookmarkEnd w:id="22"/>
      <w:bookmarkEnd w:id="23"/>
    </w:p>
    <w:tbl>
      <w:tblPr>
        <w:tblStyle w:val="4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240"/>
      </w:tblGrid>
      <w:tr w14:paraId="7680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1651F3E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□七通一平工程__________万平方米</w:t>
            </w:r>
          </w:p>
        </w:tc>
        <w:tc>
          <w:tcPr>
            <w:tcW w:w="4240" w:type="dxa"/>
            <w:shd w:val="clear" w:color="auto" w:fill="auto"/>
            <w:vAlign w:val="center"/>
          </w:tcPr>
          <w:p w14:paraId="38145B16">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□电信管道工程__________米</w:t>
            </w:r>
          </w:p>
        </w:tc>
      </w:tr>
      <w:tr w14:paraId="78F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6CC3C17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□挡墙护坡工程长：</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米；宽</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：米；高：</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米</w:t>
            </w:r>
          </w:p>
        </w:tc>
        <w:tc>
          <w:tcPr>
            <w:tcW w:w="4240" w:type="dxa"/>
            <w:shd w:val="clear" w:color="auto" w:fill="auto"/>
            <w:vAlign w:val="center"/>
          </w:tcPr>
          <w:p w14:paraId="7B53C715">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□电力管道工程__________米</w:t>
            </w:r>
          </w:p>
        </w:tc>
      </w:tr>
      <w:tr w14:paraId="4E4F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065486C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□软基处理工程__________万平方米</w:t>
            </w:r>
          </w:p>
        </w:tc>
        <w:tc>
          <w:tcPr>
            <w:tcW w:w="4240" w:type="dxa"/>
            <w:shd w:val="clear" w:color="auto" w:fill="auto"/>
            <w:vAlign w:val="center"/>
          </w:tcPr>
          <w:p w14:paraId="03133447">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□污水处理厂及配套工程_____立方米/d</w:t>
            </w:r>
          </w:p>
        </w:tc>
      </w:tr>
      <w:tr w14:paraId="1FC2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4CEBC0D9">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□水厂及配套工程__________立方米/d</w:t>
            </w:r>
          </w:p>
        </w:tc>
        <w:tc>
          <w:tcPr>
            <w:tcW w:w="4240" w:type="dxa"/>
            <w:shd w:val="clear" w:color="auto" w:fill="auto"/>
            <w:vAlign w:val="center"/>
          </w:tcPr>
          <w:p w14:paraId="44CC5E12">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□污泥处理厂及配套工程_____立方米/d</w:t>
            </w:r>
          </w:p>
        </w:tc>
      </w:tr>
      <w:tr w14:paraId="2F89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6586055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□给水管道工程__________米</w:t>
            </w:r>
          </w:p>
        </w:tc>
        <w:tc>
          <w:tcPr>
            <w:tcW w:w="4240" w:type="dxa"/>
            <w:shd w:val="clear" w:color="auto" w:fill="auto"/>
            <w:vAlign w:val="center"/>
          </w:tcPr>
          <w:p w14:paraId="50E1F3D3">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□泵站工程__________平方米</w:t>
            </w:r>
          </w:p>
        </w:tc>
      </w:tr>
      <w:tr w14:paraId="6C64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1E08904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□道路工程长：__米宽：__米</w:t>
            </w:r>
          </w:p>
        </w:tc>
        <w:tc>
          <w:tcPr>
            <w:tcW w:w="4240" w:type="dxa"/>
            <w:shd w:val="clear" w:color="auto" w:fill="auto"/>
            <w:vAlign w:val="center"/>
          </w:tcPr>
          <w:p w14:paraId="7A9992C7">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□隧道工程长：__米宽：__米高：_米</w:t>
            </w:r>
          </w:p>
        </w:tc>
      </w:tr>
      <w:tr w14:paraId="58BC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00840F4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□桥梁工程________座</w:t>
            </w:r>
          </w:p>
        </w:tc>
        <w:tc>
          <w:tcPr>
            <w:tcW w:w="4240" w:type="dxa"/>
            <w:shd w:val="clear" w:color="auto" w:fill="auto"/>
            <w:vAlign w:val="center"/>
          </w:tcPr>
          <w:p w14:paraId="691CC364">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□道路改造工程长：__米宽：__米</w:t>
            </w:r>
          </w:p>
        </w:tc>
      </w:tr>
      <w:tr w14:paraId="41E2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50E6391E">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□排水箱涵工程长：</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米宽：</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米高：</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米</w:t>
            </w:r>
          </w:p>
        </w:tc>
        <w:tc>
          <w:tcPr>
            <w:tcW w:w="4240" w:type="dxa"/>
            <w:shd w:val="clear" w:color="auto" w:fill="auto"/>
            <w:vAlign w:val="center"/>
          </w:tcPr>
          <w:p w14:paraId="02426CE1">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□路灯照明工程________座</w:t>
            </w:r>
          </w:p>
        </w:tc>
      </w:tr>
      <w:tr w14:paraId="2D06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1B518F7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□交通监控、收费综合系统工程</w:t>
            </w:r>
          </w:p>
        </w:tc>
        <w:tc>
          <w:tcPr>
            <w:tcW w:w="4240" w:type="dxa"/>
            <w:shd w:val="clear" w:color="auto" w:fill="auto"/>
            <w:vAlign w:val="center"/>
          </w:tcPr>
          <w:p w14:paraId="36316C7B">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□绿化工程______米</w:t>
            </w:r>
          </w:p>
        </w:tc>
      </w:tr>
      <w:tr w14:paraId="6350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0" w:type="dxa"/>
            <w:shd w:val="clear" w:color="auto" w:fill="auto"/>
            <w:vAlign w:val="center"/>
          </w:tcPr>
          <w:p w14:paraId="403864B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□交通安全设施工程______米</w:t>
            </w:r>
          </w:p>
        </w:tc>
        <w:tc>
          <w:tcPr>
            <w:tcW w:w="4240" w:type="dxa"/>
            <w:shd w:val="clear" w:color="auto" w:fill="auto"/>
            <w:vAlign w:val="center"/>
          </w:tcPr>
          <w:p w14:paraId="5939D69B">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□燃气工程______米</w:t>
            </w:r>
          </w:p>
        </w:tc>
      </w:tr>
      <w:tr w14:paraId="6970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2"/>
            <w:shd w:val="clear" w:color="auto" w:fill="auto"/>
            <w:vAlign w:val="center"/>
          </w:tcPr>
          <w:p w14:paraId="6C3B4AD7">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□其它:</w:t>
            </w:r>
          </w:p>
        </w:tc>
      </w:tr>
    </w:tbl>
    <w:p w14:paraId="1D513F6A">
      <w:pPr>
        <w:pageBreakBefore w:val="0"/>
        <w:kinsoku/>
        <w:overflowPunct/>
        <w:topLinePunct w:val="0"/>
        <w:autoSpaceDE/>
        <w:autoSpaceDN/>
        <w:bidi w:val="0"/>
        <w:adjustRightInd w:val="0"/>
        <w:snapToGrid w:val="0"/>
        <w:spacing w:line="560" w:lineRule="exact"/>
        <w:ind w:left="0" w:leftChars="0" w:right="0" w:rightChars="0" w:firstLine="200"/>
        <w:jc w:val="left"/>
        <w:textAlignment w:val="auto"/>
        <w:outlineLvl w:val="2"/>
        <w:rPr>
          <w:rFonts w:ascii="仿宋_GB2312" w:hAnsi="仿宋_GB2312" w:eastAsia="仿宋_GB2312" w:cs="仿宋_GB2312"/>
          <w:sz w:val="28"/>
          <w:szCs w:val="28"/>
          <w:highlight w:val="none"/>
        </w:rPr>
      </w:pPr>
      <w:bookmarkStart w:id="24" w:name="_Toc29740"/>
      <w:bookmarkStart w:id="25" w:name="_Toc31661"/>
      <w:bookmarkStart w:id="26" w:name="_Toc15779"/>
      <w:r>
        <w:rPr>
          <w:rFonts w:hint="eastAsia" w:ascii="仿宋_GB2312" w:hAnsi="仿宋_GB2312" w:eastAsia="仿宋_GB2312" w:cs="仿宋_GB2312"/>
          <w:b/>
          <w:sz w:val="28"/>
          <w:szCs w:val="28"/>
          <w:highlight w:val="none"/>
        </w:rPr>
        <w:t>2.房屋建筑及配套专业工程：</w:t>
      </w:r>
      <w:r>
        <w:rPr>
          <w:rFonts w:hint="eastAsia" w:ascii="仿宋_GB2312" w:hAnsi="仿宋_GB2312" w:eastAsia="仿宋_GB2312" w:cs="仿宋_GB2312"/>
          <w:sz w:val="28"/>
          <w:szCs w:val="28"/>
          <w:highlight w:val="none"/>
        </w:rPr>
        <w:t>(在□内打√，并填写相应的工程量)</w:t>
      </w:r>
      <w:bookmarkEnd w:id="24"/>
      <w:bookmarkEnd w:id="25"/>
      <w:bookmarkEnd w:id="26"/>
    </w:p>
    <w:tbl>
      <w:tblPr>
        <w:tblStyle w:val="4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1"/>
        <w:gridCol w:w="2593"/>
        <w:gridCol w:w="3852"/>
      </w:tblGrid>
      <w:tr w14:paraId="4512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531E221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□地基与基础工程（□基础□基坑支护□边坡□土方□其它______）;</w:t>
            </w:r>
          </w:p>
        </w:tc>
      </w:tr>
      <w:tr w14:paraId="0C87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7E28E89E">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□主体结构工程（□钢筋混凝土□钢结构□钢管混凝土□型钢混凝土□其它______）;</w:t>
            </w:r>
          </w:p>
        </w:tc>
      </w:tr>
      <w:tr w14:paraId="4A25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41CDB25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□建筑装饰装修工程（□门窗□幕墙：平方米□其它______）;</w:t>
            </w:r>
          </w:p>
        </w:tc>
      </w:tr>
      <w:tr w14:paraId="66A1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10EA2AE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□通风与空调(□通风□空调□其它______）;</w:t>
            </w:r>
          </w:p>
        </w:tc>
      </w:tr>
      <w:tr w14:paraId="2EAB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57D9A68C">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□建筑给水排水及供暖（□室内给、排水系统□室外给、排水管网□其它______）;</w:t>
            </w:r>
          </w:p>
        </w:tc>
      </w:tr>
      <w:tr w14:paraId="2D93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20AFE709">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□建筑电气工程(□室外电气□电气照明□其它______）;</w:t>
            </w:r>
          </w:p>
        </w:tc>
      </w:tr>
      <w:tr w14:paraId="6052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5" w:type="dxa"/>
            <w:gridSpan w:val="2"/>
            <w:shd w:val="clear" w:color="auto" w:fill="auto"/>
            <w:vAlign w:val="center"/>
          </w:tcPr>
          <w:p w14:paraId="455BD70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□智能建筑</w:t>
            </w:r>
          </w:p>
        </w:tc>
        <w:tc>
          <w:tcPr>
            <w:tcW w:w="6445" w:type="dxa"/>
            <w:gridSpan w:val="2"/>
            <w:shd w:val="clear" w:color="auto" w:fill="auto"/>
            <w:vAlign w:val="center"/>
          </w:tcPr>
          <w:p w14:paraId="525629F5">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(□综合布线系统□信息网络系统□其它___）;</w:t>
            </w:r>
          </w:p>
        </w:tc>
      </w:tr>
      <w:tr w14:paraId="4CC0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4" w:type="dxa"/>
            <w:shd w:val="clear" w:color="auto" w:fill="auto"/>
            <w:vAlign w:val="center"/>
          </w:tcPr>
          <w:p w14:paraId="083B973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□屋面及防水工程</w:t>
            </w:r>
          </w:p>
        </w:tc>
        <w:tc>
          <w:tcPr>
            <w:tcW w:w="2604" w:type="dxa"/>
            <w:gridSpan w:val="2"/>
            <w:shd w:val="clear" w:color="auto" w:fill="auto"/>
            <w:vAlign w:val="center"/>
          </w:tcPr>
          <w:p w14:paraId="06F642B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□建筑节能</w:t>
            </w:r>
          </w:p>
        </w:tc>
        <w:tc>
          <w:tcPr>
            <w:tcW w:w="3852" w:type="dxa"/>
            <w:shd w:val="clear" w:color="auto" w:fill="auto"/>
            <w:vAlign w:val="center"/>
          </w:tcPr>
          <w:p w14:paraId="61C04206">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□消防工程</w:t>
            </w:r>
          </w:p>
        </w:tc>
      </w:tr>
      <w:tr w14:paraId="444C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709D1622">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□室外工程（□室外设施□附属建筑□室外环境</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Cs/>
                <w:sz w:val="28"/>
                <w:szCs w:val="28"/>
                <w:highlight w:val="none"/>
              </w:rPr>
              <w:t>。</w:t>
            </w:r>
          </w:p>
        </w:tc>
      </w:tr>
      <w:tr w14:paraId="781D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shd w:val="clear" w:color="auto" w:fill="auto"/>
            <w:vAlign w:val="center"/>
          </w:tcPr>
          <w:p w14:paraId="1328AEA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□燃气工程（户数：____</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Cs/>
                <w:sz w:val="28"/>
                <w:szCs w:val="28"/>
                <w:highlight w:val="none"/>
              </w:rPr>
              <w:t>庭院管：__米）</w:t>
            </w:r>
          </w:p>
        </w:tc>
      </w:tr>
    </w:tbl>
    <w:p w14:paraId="1C392801">
      <w:pPr>
        <w:pageBreakBefore w:val="0"/>
        <w:kinsoku/>
        <w:overflowPunct/>
        <w:topLinePunct w:val="0"/>
        <w:autoSpaceDE/>
        <w:autoSpaceDN/>
        <w:bidi w:val="0"/>
        <w:adjustRightInd w:val="0"/>
        <w:snapToGrid w:val="0"/>
        <w:spacing w:line="560" w:lineRule="exact"/>
        <w:ind w:left="0" w:leftChars="0" w:right="0" w:rightChars="0" w:firstLine="200"/>
        <w:jc w:val="left"/>
        <w:textAlignment w:val="auto"/>
        <w:outlineLvl w:val="2"/>
        <w:rPr>
          <w:rFonts w:ascii="仿宋_GB2312" w:hAnsi="仿宋_GB2312" w:eastAsia="仿宋_GB2312" w:cs="仿宋_GB2312"/>
          <w:sz w:val="28"/>
          <w:szCs w:val="28"/>
          <w:highlight w:val="none"/>
        </w:rPr>
      </w:pPr>
      <w:bookmarkStart w:id="27" w:name="_Toc29050"/>
      <w:bookmarkStart w:id="28" w:name="_Toc15536"/>
      <w:bookmarkStart w:id="29" w:name="_Toc8084"/>
      <w:r>
        <w:rPr>
          <w:rFonts w:hint="eastAsia" w:ascii="仿宋_GB2312" w:hAnsi="仿宋_GB2312" w:eastAsia="仿宋_GB2312" w:cs="仿宋_GB2312"/>
          <w:b/>
          <w:sz w:val="28"/>
          <w:szCs w:val="28"/>
          <w:highlight w:val="none"/>
        </w:rPr>
        <w:t>3.二次装饰装修工程：</w:t>
      </w:r>
      <w:r>
        <w:rPr>
          <w:rFonts w:hint="eastAsia" w:ascii="仿宋_GB2312" w:hAnsi="仿宋_GB2312" w:eastAsia="仿宋_GB2312" w:cs="仿宋_GB2312"/>
          <w:sz w:val="28"/>
          <w:szCs w:val="28"/>
          <w:highlight w:val="none"/>
        </w:rPr>
        <w:t>(在□内打√，并填写相应的工程量)</w:t>
      </w:r>
      <w:bookmarkEnd w:id="27"/>
      <w:bookmarkEnd w:id="28"/>
      <w:bookmarkEnd w:id="29"/>
    </w:p>
    <w:tbl>
      <w:tblPr>
        <w:tblStyle w:val="4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711"/>
        <w:gridCol w:w="2114"/>
        <w:gridCol w:w="1815"/>
        <w:gridCol w:w="1723"/>
      </w:tblGrid>
      <w:tr w14:paraId="2BB5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7" w:type="dxa"/>
            <w:shd w:val="clear" w:color="auto" w:fill="auto"/>
            <w:vAlign w:val="center"/>
          </w:tcPr>
          <w:p w14:paraId="105301CA">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□消防工程</w:t>
            </w:r>
          </w:p>
        </w:tc>
        <w:tc>
          <w:tcPr>
            <w:tcW w:w="1711" w:type="dxa"/>
            <w:shd w:val="clear" w:color="auto" w:fill="auto"/>
            <w:vAlign w:val="center"/>
          </w:tcPr>
          <w:p w14:paraId="35753921">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□门窗</w:t>
            </w:r>
          </w:p>
        </w:tc>
        <w:tc>
          <w:tcPr>
            <w:tcW w:w="2114" w:type="dxa"/>
            <w:shd w:val="clear" w:color="auto" w:fill="auto"/>
            <w:vAlign w:val="center"/>
          </w:tcPr>
          <w:p w14:paraId="4E1923A2">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□防水工程</w:t>
            </w:r>
          </w:p>
        </w:tc>
        <w:tc>
          <w:tcPr>
            <w:tcW w:w="1815" w:type="dxa"/>
            <w:shd w:val="clear" w:color="auto" w:fill="auto"/>
            <w:vAlign w:val="center"/>
          </w:tcPr>
          <w:p w14:paraId="2CBFC77E">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□电气照明</w:t>
            </w:r>
          </w:p>
        </w:tc>
        <w:tc>
          <w:tcPr>
            <w:tcW w:w="1723" w:type="dxa"/>
            <w:shd w:val="clear" w:color="auto" w:fill="auto"/>
            <w:vAlign w:val="center"/>
          </w:tcPr>
          <w:p w14:paraId="6BEC6396">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sz w:val="28"/>
                <w:szCs w:val="28"/>
                <w:highlight w:val="none"/>
              </w:rPr>
              <w:t>建筑节能</w:t>
            </w:r>
          </w:p>
        </w:tc>
      </w:tr>
      <w:tr w14:paraId="2A57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5"/>
            <w:shd w:val="clear" w:color="auto" w:fill="auto"/>
            <w:vAlign w:val="center"/>
          </w:tcPr>
          <w:p w14:paraId="5EC85665">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□通风与空调(□通风□空调□其它);</w:t>
            </w:r>
          </w:p>
        </w:tc>
      </w:tr>
      <w:tr w14:paraId="26B5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5"/>
            <w:shd w:val="clear" w:color="auto" w:fill="auto"/>
            <w:vAlign w:val="center"/>
          </w:tcPr>
          <w:p w14:paraId="0CD0173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□建筑给排水及供暖（□室内给、排水系统□其它）;</w:t>
            </w:r>
          </w:p>
        </w:tc>
      </w:tr>
      <w:tr w14:paraId="621F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5"/>
            <w:shd w:val="clear" w:color="auto" w:fill="auto"/>
            <w:vAlign w:val="center"/>
          </w:tcPr>
          <w:p w14:paraId="1EE08840">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□智能建筑(□综合布线系统□信息网络系统□其它）;</w:t>
            </w:r>
          </w:p>
        </w:tc>
      </w:tr>
      <w:tr w14:paraId="4DBE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5"/>
            <w:shd w:val="clear" w:color="auto" w:fill="auto"/>
            <w:vAlign w:val="center"/>
          </w:tcPr>
          <w:p w14:paraId="6CBFCA09">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r>
              <w:rPr>
                <w:rFonts w:hint="eastAsia" w:ascii="仿宋" w:hAnsi="仿宋" w:eastAsia="仿宋" w:cs="仿宋"/>
                <w:bCs/>
                <w:sz w:val="28"/>
                <w:szCs w:val="28"/>
                <w:highlight w:val="none"/>
              </w:rPr>
              <w:t>□装饰装修  (□抹灰   □涂饰   □饰面板（砖）   □吊顶   □其它</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rPr>
              <w:t xml:space="preserve">  ）;</w:t>
            </w:r>
          </w:p>
        </w:tc>
      </w:tr>
      <w:tr w14:paraId="3BC3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5"/>
            <w:shd w:val="clear" w:color="auto" w:fill="auto"/>
            <w:vAlign w:val="center"/>
          </w:tcPr>
          <w:p w14:paraId="1103B823">
            <w:pPr>
              <w:pageBreakBefore w:val="0"/>
              <w:tabs>
                <w:tab w:val="left" w:pos="60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□其它：</w:t>
            </w:r>
          </w:p>
        </w:tc>
      </w:tr>
    </w:tbl>
    <w:p w14:paraId="2E1E85DB">
      <w:pPr>
        <w:pageBreakBefore w:val="0"/>
        <w:kinsoku/>
        <w:overflowPunct/>
        <w:topLinePunct w:val="0"/>
        <w:autoSpaceDE/>
        <w:autoSpaceDN/>
        <w:bidi w:val="0"/>
        <w:adjustRightInd w:val="0"/>
        <w:snapToGrid w:val="0"/>
        <w:spacing w:line="560" w:lineRule="exact"/>
        <w:ind w:left="0" w:leftChars="0" w:right="0" w:rightChars="0" w:firstLine="141" w:firstLineChars="50"/>
        <w:jc w:val="left"/>
        <w:textAlignment w:val="auto"/>
        <w:outlineLvl w:val="2"/>
        <w:rPr>
          <w:rFonts w:ascii="仿宋_GB2312" w:hAnsi="仿宋_GB2312" w:eastAsia="仿宋_GB2312" w:cs="仿宋_GB2312"/>
          <w:sz w:val="28"/>
          <w:szCs w:val="28"/>
          <w:highlight w:val="none"/>
        </w:rPr>
      </w:pPr>
      <w:bookmarkStart w:id="30" w:name="_Toc3292"/>
      <w:bookmarkStart w:id="31" w:name="_Toc21902"/>
      <w:bookmarkStart w:id="32" w:name="_Toc8557"/>
      <w:r>
        <w:rPr>
          <w:rFonts w:hint="eastAsia" w:ascii="仿宋_GB2312" w:hAnsi="仿宋_GB2312" w:eastAsia="仿宋_GB2312" w:cs="仿宋_GB2312"/>
          <w:b/>
          <w:sz w:val="28"/>
          <w:szCs w:val="28"/>
          <w:highlight w:val="none"/>
        </w:rPr>
        <w:t>4.其他工程</w:t>
      </w:r>
      <w:bookmarkEnd w:id="30"/>
      <w:bookmarkEnd w:id="31"/>
      <w:bookmarkEnd w:id="32"/>
    </w:p>
    <w:p w14:paraId="0FECD0E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 xml:space="preserve">                                                                   </w:t>
      </w:r>
    </w:p>
    <w:p w14:paraId="308F075F">
      <w:pPr>
        <w:pageBreakBefore w:val="0"/>
        <w:kinsoku/>
        <w:overflowPunct/>
        <w:topLinePunct w:val="0"/>
        <w:autoSpaceDE/>
        <w:autoSpaceDN/>
        <w:bidi w:val="0"/>
        <w:adjustRightInd w:val="0"/>
        <w:snapToGrid w:val="0"/>
        <w:spacing w:line="560" w:lineRule="exact"/>
        <w:ind w:left="0" w:leftChars="0" w:right="0" w:rightChars="0" w:firstLine="480" w:firstLineChars="0"/>
        <w:jc w:val="lef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 xml:space="preserve">                                                                   </w:t>
      </w:r>
    </w:p>
    <w:p w14:paraId="71C5A7D9">
      <w:pPr>
        <w:pageBreakBefore w:val="0"/>
        <w:kinsoku/>
        <w:overflowPunct/>
        <w:topLinePunct w:val="0"/>
        <w:autoSpaceDE/>
        <w:autoSpaceDN/>
        <w:bidi w:val="0"/>
        <w:adjustRightInd w:val="0"/>
        <w:snapToGrid w:val="0"/>
        <w:spacing w:line="560" w:lineRule="exact"/>
        <w:ind w:left="0" w:leftChars="0" w:right="0" w:rightChars="0" w:firstLine="0" w:firstLineChars="0"/>
        <w:jc w:val="left"/>
        <w:textAlignment w:val="auto"/>
        <w:outlineLvl w:val="1"/>
        <w:rPr>
          <w:rFonts w:hint="eastAsia" w:ascii="仿宋" w:hAnsi="仿宋" w:eastAsia="仿宋" w:cs="仿宋"/>
          <w:b/>
          <w:kern w:val="44"/>
          <w:sz w:val="30"/>
          <w:szCs w:val="30"/>
          <w:highlight w:val="none"/>
          <w:u w:val="none"/>
        </w:rPr>
      </w:pPr>
      <w:bookmarkStart w:id="33" w:name="_Toc4793"/>
      <w:r>
        <w:rPr>
          <w:rFonts w:hint="eastAsia" w:ascii="仿宋" w:hAnsi="仿宋" w:eastAsia="仿宋" w:cs="仿宋"/>
          <w:b/>
          <w:kern w:val="44"/>
          <w:sz w:val="30"/>
          <w:szCs w:val="30"/>
          <w:highlight w:val="none"/>
        </w:rPr>
        <w:t>三、合同工期</w:t>
      </w:r>
      <w:bookmarkEnd w:id="33"/>
    </w:p>
    <w:p w14:paraId="67E8C0B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计划开工日期：______年______月______日；</w:t>
      </w:r>
    </w:p>
    <w:p w14:paraId="006B8C2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计划竣工日期：______年______月______日；</w:t>
      </w:r>
    </w:p>
    <w:p w14:paraId="607FE8A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合同工期总日历天数______天。</w:t>
      </w:r>
    </w:p>
    <w:p w14:paraId="1AF723C1">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招标工期总日历天数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w:t>
      </w:r>
    </w:p>
    <w:p w14:paraId="19E404C6">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定额工期总日历天数</w:t>
      </w:r>
      <w:r>
        <w:rPr>
          <w:rFonts w:hint="eastAsia" w:ascii="仿宋" w:hAnsi="仿宋" w:eastAsia="仿宋" w:cs="仿宋"/>
          <w:bCs/>
          <w:sz w:val="28"/>
          <w:szCs w:val="28"/>
          <w:highlight w:val="none"/>
          <w:u w:val="single"/>
        </w:rPr>
        <w:t xml:space="preserve">          </w:t>
      </w:r>
      <w:r>
        <w:rPr>
          <w:rFonts w:hint="eastAsia" w:ascii="仿宋" w:hAnsi="仿宋" w:eastAsia="仿宋" w:cs="仿宋"/>
          <w:sz w:val="28"/>
          <w:szCs w:val="28"/>
          <w:highlight w:val="none"/>
        </w:rPr>
        <w:t>天。</w:t>
      </w:r>
    </w:p>
    <w:p w14:paraId="02359ED9">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合同工期对比定额工期的压缩比例为</w:t>
      </w:r>
      <w:r>
        <w:rPr>
          <w:rFonts w:hint="eastAsia" w:ascii="仿宋" w:hAnsi="仿宋" w:eastAsia="仿宋" w:cs="仿宋"/>
          <w:b/>
          <w:bCs/>
          <w:sz w:val="28"/>
          <w:szCs w:val="28"/>
          <w:highlight w:val="none"/>
          <w:u w:val="single"/>
        </w:rPr>
        <w:t xml:space="preserve">    </w:t>
      </w:r>
      <w:r>
        <w:rPr>
          <w:rFonts w:hint="eastAsia" w:ascii="仿宋" w:hAnsi="仿宋" w:eastAsia="仿宋" w:cs="仿宋"/>
          <w:bCs/>
          <w:sz w:val="28"/>
          <w:szCs w:val="28"/>
          <w:highlight w:val="none"/>
          <w:u w:val="single"/>
        </w:rPr>
        <w:t>%</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 xml:space="preserve"> (压缩比例=1-合同工期/定额工期)。</w:t>
      </w:r>
    </w:p>
    <w:p w14:paraId="4868DA65">
      <w:pPr>
        <w:pageBreakBefore w:val="0"/>
        <w:kinsoku/>
        <w:overflowPunct/>
        <w:topLinePunct w:val="0"/>
        <w:autoSpaceDE/>
        <w:autoSpaceDN/>
        <w:bidi w:val="0"/>
        <w:adjustRightInd w:val="0"/>
        <w:snapToGrid w:val="0"/>
        <w:spacing w:line="560" w:lineRule="exact"/>
        <w:ind w:left="0" w:leftChars="0" w:right="0" w:rightChars="0" w:firstLine="0" w:firstLineChars="0"/>
        <w:jc w:val="left"/>
        <w:textAlignment w:val="auto"/>
        <w:outlineLvl w:val="1"/>
        <w:rPr>
          <w:rFonts w:hint="eastAsia" w:ascii="仿宋" w:hAnsi="仿宋" w:eastAsia="仿宋" w:cs="仿宋"/>
          <w:b/>
          <w:bCs w:val="0"/>
          <w:kern w:val="44"/>
          <w:sz w:val="30"/>
          <w:szCs w:val="30"/>
          <w:highlight w:val="none"/>
        </w:rPr>
      </w:pPr>
      <w:bookmarkStart w:id="34" w:name="_Toc19957"/>
      <w:r>
        <w:rPr>
          <w:rFonts w:hint="eastAsia" w:ascii="仿宋" w:hAnsi="仿宋" w:eastAsia="仿宋" w:cs="仿宋"/>
          <w:b/>
          <w:bCs w:val="0"/>
          <w:kern w:val="44"/>
          <w:sz w:val="30"/>
          <w:szCs w:val="30"/>
          <w:highlight w:val="none"/>
        </w:rPr>
        <w:t>四、质量标准</w:t>
      </w:r>
      <w:bookmarkEnd w:id="34"/>
    </w:p>
    <w:p w14:paraId="664F9F7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rPr>
        <w:t>本工程质量标准：</w:t>
      </w:r>
      <w:r>
        <w:rPr>
          <w:rFonts w:hint="eastAsia" w:ascii="仿宋_GB2312" w:hAnsi="仿宋_GB2312" w:eastAsia="仿宋_GB2312" w:cs="仿宋_GB2312"/>
          <w:b w:val="0"/>
          <w:sz w:val="28"/>
          <w:szCs w:val="28"/>
          <w:highlight w:val="none"/>
          <w:u w:val="single"/>
        </w:rPr>
        <w:t>省级结构工程优质奖</w:t>
      </w:r>
    </w:p>
    <w:p w14:paraId="01DEA72F">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hint="eastAsia" w:ascii="仿宋" w:hAnsi="仿宋" w:eastAsia="仿宋" w:cs="仿宋"/>
          <w:b/>
          <w:bCs w:val="0"/>
          <w:kern w:val="44"/>
          <w:sz w:val="30"/>
          <w:szCs w:val="30"/>
          <w:highlight w:val="none"/>
        </w:rPr>
      </w:pPr>
      <w:bookmarkStart w:id="35" w:name="_Toc21499"/>
      <w:r>
        <w:rPr>
          <w:rFonts w:hint="eastAsia" w:ascii="仿宋" w:hAnsi="仿宋" w:eastAsia="仿宋" w:cs="仿宋"/>
          <w:b/>
          <w:bCs w:val="0"/>
          <w:kern w:val="44"/>
          <w:sz w:val="30"/>
          <w:szCs w:val="30"/>
          <w:highlight w:val="none"/>
        </w:rPr>
        <w:t>五、签约合同价</w:t>
      </w:r>
      <w:bookmarkEnd w:id="35"/>
    </w:p>
    <w:p w14:paraId="1C8542EE">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人民币（大写）____________(¥____________元)；</w:t>
      </w:r>
    </w:p>
    <w:p w14:paraId="119B8C55">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其中：</w:t>
      </w:r>
    </w:p>
    <w:p w14:paraId="778F9674">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⑴安全文明施工费：</w:t>
      </w:r>
    </w:p>
    <w:p w14:paraId="635426A4">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人民币（大写）____________(¥____________元)；</w:t>
      </w:r>
    </w:p>
    <w:p w14:paraId="02E27E9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⑵材料和工程设备暂估价金额：</w:t>
      </w:r>
    </w:p>
    <w:p w14:paraId="15365CC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人民币（大写）____________(¥____________元)；</w:t>
      </w:r>
    </w:p>
    <w:p w14:paraId="74E36A79">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⑶专业工程暂估价金额：</w:t>
      </w:r>
    </w:p>
    <w:p w14:paraId="28032B7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人民币（大写）____________(¥____________元)；</w:t>
      </w:r>
    </w:p>
    <w:p w14:paraId="09D74126">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⑷暂列金额：</w:t>
      </w:r>
    </w:p>
    <w:p w14:paraId="393B63C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人民币（大写）____________(¥____________元)。</w:t>
      </w:r>
    </w:p>
    <w:p w14:paraId="0DAF6BCB">
      <w:pPr>
        <w:pageBreakBefore w:val="0"/>
        <w:kinsoku/>
        <w:overflowPunct/>
        <w:topLinePunct w:val="0"/>
        <w:autoSpaceDE/>
        <w:autoSpaceDN/>
        <w:bidi w:val="0"/>
        <w:adjustRightInd w:val="0"/>
        <w:snapToGrid w:val="0"/>
        <w:spacing w:line="560" w:lineRule="exact"/>
        <w:ind w:left="0" w:leftChars="0" w:right="0" w:rightChars="0" w:firstLine="475"/>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⑸BIM技术应用费用：</w:t>
      </w:r>
    </w:p>
    <w:p w14:paraId="29A63D51">
      <w:pPr>
        <w:pageBreakBefore w:val="0"/>
        <w:kinsoku/>
        <w:wordWrap w:val="0"/>
        <w:overflowPunct/>
        <w:topLinePunct w:val="0"/>
        <w:autoSpaceDE/>
        <w:autoSpaceDN/>
        <w:bidi w:val="0"/>
        <w:adjustRightInd w:val="0"/>
        <w:snapToGrid w:val="0"/>
        <w:spacing w:line="560" w:lineRule="exact"/>
        <w:ind w:left="0" w:leftChars="0" w:right="0" w:rightChars="0" w:firstLine="476"/>
        <w:textAlignment w:val="auto"/>
        <w:rPr>
          <w:rFonts w:hint="eastAsia" w:ascii="仿宋" w:hAnsi="仿宋" w:eastAsia="仿宋" w:cs="仿宋"/>
          <w:sz w:val="24"/>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p w14:paraId="0F0A367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1"/>
        <w:rPr>
          <w:rFonts w:hint="eastAsia" w:ascii="仿宋" w:hAnsi="仿宋" w:eastAsia="仿宋" w:cs="仿宋"/>
          <w:b/>
          <w:kern w:val="44"/>
          <w:sz w:val="30"/>
          <w:szCs w:val="30"/>
          <w:highlight w:val="none"/>
          <w:lang w:val="en-US" w:eastAsia="zh-CN"/>
        </w:rPr>
      </w:pPr>
      <w:bookmarkStart w:id="36" w:name="_Toc40"/>
      <w:r>
        <w:rPr>
          <w:rFonts w:hint="eastAsia" w:ascii="仿宋" w:hAnsi="仿宋" w:eastAsia="仿宋" w:cs="仿宋"/>
          <w:b/>
          <w:kern w:val="44"/>
          <w:sz w:val="30"/>
          <w:szCs w:val="30"/>
          <w:highlight w:val="none"/>
          <w:lang w:val="en-US" w:eastAsia="zh-CN"/>
        </w:rPr>
        <w:t>六、工人工资专用账户信息</w:t>
      </w:r>
      <w:bookmarkEnd w:id="36"/>
    </w:p>
    <w:p w14:paraId="494B8C36">
      <w:pPr>
        <w:pageBreakBefore w:val="0"/>
        <w:kinsoku/>
        <w:wordWrap w:val="0"/>
        <w:overflowPunct/>
        <w:topLinePunct w:val="0"/>
        <w:autoSpaceDE/>
        <w:autoSpaceDN/>
        <w:bidi w:val="0"/>
        <w:adjustRightInd w:val="0"/>
        <w:snapToGrid w:val="0"/>
        <w:spacing w:line="560" w:lineRule="exact"/>
        <w:ind w:left="0" w:leftChars="0" w:right="0" w:rightChars="0" w:firstLine="47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工人工资款支付专用账户名称：</w:t>
      </w:r>
      <w:r>
        <w:rPr>
          <w:rFonts w:hint="eastAsia" w:ascii="仿宋" w:hAnsi="仿宋" w:eastAsia="仿宋" w:cs="仿宋"/>
          <w:sz w:val="28"/>
          <w:szCs w:val="28"/>
          <w:highlight w:val="none"/>
          <w:u w:val="none"/>
        </w:rPr>
        <w:t xml:space="preserve">                                </w:t>
      </w:r>
    </w:p>
    <w:p w14:paraId="6EC6419B">
      <w:pPr>
        <w:pageBreakBefore w:val="0"/>
        <w:kinsoku/>
        <w:wordWrap w:val="0"/>
        <w:overflowPunct/>
        <w:topLinePunct w:val="0"/>
        <w:autoSpaceDE/>
        <w:autoSpaceDN/>
        <w:bidi w:val="0"/>
        <w:adjustRightInd w:val="0"/>
        <w:snapToGrid w:val="0"/>
        <w:spacing w:line="560" w:lineRule="exact"/>
        <w:ind w:left="0" w:leftChars="0" w:right="0" w:rightChars="0" w:firstLine="47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工人工资款支付专用账户开户银行：</w:t>
      </w:r>
      <w:r>
        <w:rPr>
          <w:rFonts w:hint="eastAsia" w:ascii="仿宋" w:hAnsi="仿宋" w:eastAsia="仿宋" w:cs="仿宋"/>
          <w:sz w:val="28"/>
          <w:szCs w:val="28"/>
          <w:highlight w:val="none"/>
          <w:u w:val="none"/>
        </w:rPr>
        <w:t xml:space="preserve">                            </w:t>
      </w:r>
    </w:p>
    <w:p w14:paraId="072576E8">
      <w:pPr>
        <w:pageBreakBefore w:val="0"/>
        <w:kinsoku/>
        <w:wordWrap w:val="0"/>
        <w:overflowPunct/>
        <w:topLinePunct w:val="0"/>
        <w:autoSpaceDE/>
        <w:autoSpaceDN/>
        <w:bidi w:val="0"/>
        <w:adjustRightInd w:val="0"/>
        <w:snapToGrid w:val="0"/>
        <w:spacing w:line="560" w:lineRule="exact"/>
        <w:ind w:left="0" w:leftChars="0" w:right="0" w:rightChars="0" w:firstLine="476"/>
        <w:textAlignment w:val="auto"/>
        <w:rPr>
          <w:rFonts w:hint="eastAsia" w:ascii="宋体" w:hAnsi="宋体"/>
          <w:sz w:val="24"/>
          <w:highlight w:val="none"/>
          <w:u w:val="single"/>
        </w:rPr>
      </w:pPr>
      <w:r>
        <w:rPr>
          <w:rFonts w:hint="eastAsia" w:ascii="仿宋" w:hAnsi="仿宋" w:eastAsia="仿宋" w:cs="仿宋"/>
          <w:sz w:val="28"/>
          <w:szCs w:val="28"/>
          <w:highlight w:val="none"/>
        </w:rPr>
        <w:t>工人工资款支付专用账户号：</w:t>
      </w:r>
      <w:r>
        <w:rPr>
          <w:rFonts w:hint="eastAsia" w:ascii="仿宋" w:hAnsi="仿宋" w:eastAsia="仿宋" w:cs="仿宋"/>
          <w:sz w:val="28"/>
          <w:szCs w:val="28"/>
          <w:highlight w:val="none"/>
          <w:u w:val="none"/>
        </w:rPr>
        <w:t xml:space="preserve"> </w:t>
      </w:r>
      <w:r>
        <w:rPr>
          <w:rFonts w:hint="eastAsia" w:ascii="宋体" w:hAnsi="宋体"/>
          <w:sz w:val="24"/>
          <w:highlight w:val="none"/>
          <w:u w:val="single"/>
        </w:rPr>
        <w:t xml:space="preserve">                                       </w:t>
      </w:r>
    </w:p>
    <w:p w14:paraId="1929519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1"/>
        <w:rPr>
          <w:rFonts w:hint="eastAsia" w:ascii="仿宋" w:hAnsi="仿宋" w:eastAsia="仿宋" w:cs="仿宋"/>
          <w:b/>
          <w:kern w:val="44"/>
          <w:sz w:val="30"/>
          <w:szCs w:val="30"/>
          <w:highlight w:val="none"/>
        </w:rPr>
      </w:pPr>
      <w:bookmarkStart w:id="37" w:name="_Toc20624"/>
      <w:r>
        <w:rPr>
          <w:rFonts w:hint="eastAsia" w:ascii="仿宋" w:hAnsi="仿宋" w:eastAsia="仿宋" w:cs="仿宋"/>
          <w:b/>
          <w:kern w:val="44"/>
          <w:sz w:val="30"/>
          <w:szCs w:val="30"/>
          <w:highlight w:val="none"/>
          <w:lang w:val="en-US" w:eastAsia="zh-CN"/>
        </w:rPr>
        <w:t>七、</w:t>
      </w:r>
      <w:r>
        <w:rPr>
          <w:rFonts w:hint="eastAsia" w:ascii="仿宋" w:hAnsi="仿宋" w:eastAsia="仿宋" w:cs="仿宋"/>
          <w:b/>
          <w:kern w:val="44"/>
          <w:sz w:val="30"/>
          <w:szCs w:val="30"/>
          <w:highlight w:val="none"/>
        </w:rPr>
        <w:t>组成合同的文件</w:t>
      </w:r>
      <w:bookmarkEnd w:id="37"/>
    </w:p>
    <w:p w14:paraId="66E49575">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组成本合同的文件及优先解释顺序与本合同通用条款2.1款的规定一致：</w:t>
      </w:r>
    </w:p>
    <w:p w14:paraId="3C346626">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⑴本合同签订后双方新签订的补充协议；</w:t>
      </w:r>
    </w:p>
    <w:p w14:paraId="409E3701">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⑵本合同第一部分的协议书；</w:t>
      </w:r>
    </w:p>
    <w:p w14:paraId="49B8E50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⑶中标通知书及其附件；</w:t>
      </w:r>
    </w:p>
    <w:p w14:paraId="662C664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⑷本合同第四部分的补充条款；</w:t>
      </w:r>
    </w:p>
    <w:p w14:paraId="607F66E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⑸本合同第三部分的专用条款；</w:t>
      </w:r>
    </w:p>
    <w:p w14:paraId="5C2AF80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⑹本合同第二部分的通用条款；</w:t>
      </w:r>
    </w:p>
    <w:p w14:paraId="2B6820B7">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⑺本工程招标文件中的技术要求和投标报价规定；</w:t>
      </w:r>
    </w:p>
    <w:p w14:paraId="32E34B6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⑻投标文件(包括承包人在评标期间和合同谈判过程中递交和确认并经发包人同意的对有关问题的补充资料和澄清文件等)；</w:t>
      </w:r>
    </w:p>
    <w:p w14:paraId="6DF929CC">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⑼现行的标准、规范、规定及有关技术文件；</w:t>
      </w:r>
    </w:p>
    <w:p w14:paraId="2335115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⑽图纸和技术规格书；</w:t>
      </w:r>
    </w:p>
    <w:p w14:paraId="671C8AE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⑾已标价工程量清单；</w:t>
      </w:r>
    </w:p>
    <w:p w14:paraId="58E8C802">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⑿发包人和承包人双方有关本工程的变更、签证、洽商、索赔、询价采购凭证等书面文件及组成合同的其他文件。</w:t>
      </w:r>
    </w:p>
    <w:p w14:paraId="2727445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1"/>
        <w:rPr>
          <w:rFonts w:ascii="仿宋_GB2312" w:hAnsi="仿宋_GB2312" w:eastAsia="仿宋_GB2312" w:cs="仿宋_GB2312"/>
          <w:b/>
          <w:bCs/>
          <w:sz w:val="28"/>
          <w:szCs w:val="28"/>
          <w:highlight w:val="none"/>
        </w:rPr>
      </w:pPr>
      <w:bookmarkStart w:id="38" w:name="_Toc25994"/>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rPr>
        <w:t>、词语含义</w:t>
      </w:r>
      <w:bookmarkEnd w:id="38"/>
    </w:p>
    <w:p w14:paraId="22CF9FD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本协议书中有关词语含义与本合同“通用条款”中赋予它们的定义相同。</w:t>
      </w:r>
    </w:p>
    <w:p w14:paraId="7927134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1"/>
        <w:rPr>
          <w:rFonts w:ascii="仿宋_GB2312" w:hAnsi="仿宋_GB2312" w:eastAsia="仿宋_GB2312" w:cs="仿宋_GB2312"/>
          <w:b/>
          <w:bCs/>
          <w:sz w:val="28"/>
          <w:szCs w:val="28"/>
          <w:highlight w:val="none"/>
        </w:rPr>
      </w:pPr>
      <w:bookmarkStart w:id="39" w:name="_Toc7528"/>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、承诺</w:t>
      </w:r>
      <w:bookmarkEnd w:id="39"/>
    </w:p>
    <w:p w14:paraId="7132F7F9">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1.发包人承诺按照法律规定履行项目审批手续、筹集工程建设资金并按照合同约定的期限和方式支付合同价款</w:t>
      </w:r>
      <w:r>
        <w:rPr>
          <w:rFonts w:hint="eastAsia" w:ascii="仿宋_GB2312" w:hAnsi="仿宋_GB2312" w:eastAsia="仿宋_GB2312" w:cs="仿宋_GB2312"/>
          <w:sz w:val="28"/>
          <w:szCs w:val="28"/>
          <w:highlight w:val="none"/>
        </w:rPr>
        <w:t>及其它应当支付的款项,并履行本合同所约定的全部义务</w:t>
      </w:r>
      <w:r>
        <w:rPr>
          <w:rFonts w:hint="eastAsia" w:ascii="仿宋_GB2312" w:hAnsi="仿宋_GB2312" w:eastAsia="仿宋_GB2312" w:cs="仿宋_GB2312"/>
          <w:bCs/>
          <w:sz w:val="28"/>
          <w:szCs w:val="28"/>
          <w:highlight w:val="none"/>
        </w:rPr>
        <w:t>。</w:t>
      </w:r>
    </w:p>
    <w:p w14:paraId="4B22050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2.承包人承诺按照法律规定及合同约定组织完成工程施工，确保工程质量和安全，不进行转包及违法分包，并在质量缺陷责任期及保修期内承担相应的工程维修责任</w:t>
      </w:r>
      <w:r>
        <w:rPr>
          <w:rFonts w:hint="eastAsia" w:ascii="仿宋_GB2312" w:hAnsi="仿宋_GB2312" w:eastAsia="仿宋_GB2312" w:cs="仿宋_GB2312"/>
          <w:sz w:val="28"/>
          <w:szCs w:val="28"/>
          <w:highlight w:val="none"/>
        </w:rPr>
        <w:t>,并履行本合同所约定的全部义务</w:t>
      </w:r>
      <w:r>
        <w:rPr>
          <w:rFonts w:hint="eastAsia" w:ascii="仿宋_GB2312" w:hAnsi="仿宋_GB2312" w:eastAsia="仿宋_GB2312" w:cs="仿宋_GB2312"/>
          <w:bCs/>
          <w:sz w:val="28"/>
          <w:szCs w:val="28"/>
          <w:highlight w:val="none"/>
        </w:rPr>
        <w:t>。</w:t>
      </w:r>
    </w:p>
    <w:p w14:paraId="6D5765C1">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3.发包人和承包人双方理解并承诺不再就同一工程另行签订与合同实质性内容相背离的协议。</w:t>
      </w:r>
    </w:p>
    <w:p w14:paraId="6B4BB81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1"/>
        <w:rPr>
          <w:rFonts w:ascii="仿宋_GB2312" w:hAnsi="仿宋_GB2312" w:eastAsia="仿宋_GB2312" w:cs="仿宋_GB2312"/>
          <w:b/>
          <w:bCs/>
          <w:sz w:val="28"/>
          <w:szCs w:val="28"/>
          <w:highlight w:val="none"/>
        </w:rPr>
      </w:pPr>
      <w:bookmarkStart w:id="40" w:name="_Toc12372"/>
      <w:r>
        <w:rPr>
          <w:rFonts w:hint="eastAsia" w:ascii="仿宋_GB2312" w:hAnsi="仿宋_GB2312" w:eastAsia="仿宋_GB2312" w:cs="仿宋_GB2312"/>
          <w:b/>
          <w:bCs/>
          <w:sz w:val="28"/>
          <w:szCs w:val="28"/>
          <w:highlight w:val="none"/>
          <w:lang w:val="en-US" w:eastAsia="zh-CN"/>
        </w:rPr>
        <w:t>十</w:t>
      </w:r>
      <w:r>
        <w:rPr>
          <w:rFonts w:hint="eastAsia" w:ascii="仿宋_GB2312" w:hAnsi="仿宋_GB2312" w:eastAsia="仿宋_GB2312" w:cs="仿宋_GB2312"/>
          <w:b/>
          <w:bCs/>
          <w:sz w:val="28"/>
          <w:szCs w:val="28"/>
          <w:highlight w:val="none"/>
        </w:rPr>
        <w:t>、合同订立与生效</w:t>
      </w:r>
      <w:bookmarkEnd w:id="40"/>
    </w:p>
    <w:p w14:paraId="277338D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本合同订立时间：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41BD4EB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订立地点：</w:t>
      </w:r>
      <w:r>
        <w:rPr>
          <w:rFonts w:hint="eastAsia" w:ascii="仿宋_GB2312" w:hAnsi="仿宋_GB2312" w:eastAsia="仿宋_GB2312" w:cs="仿宋_GB2312"/>
          <w:sz w:val="28"/>
          <w:szCs w:val="28"/>
          <w:highlight w:val="none"/>
          <w:u w:val="single"/>
          <w:lang w:val="en-US" w:eastAsia="zh-CN"/>
        </w:rPr>
        <w:t xml:space="preserve">                     </w:t>
      </w:r>
    </w:p>
    <w:p w14:paraId="20E0BF4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发包人和承包人约定本合同自双方</w:t>
      </w:r>
      <w:r>
        <w:rPr>
          <w:rFonts w:hint="eastAsia" w:ascii="仿宋_GB2312" w:hAnsi="仿宋_GB2312" w:eastAsia="仿宋_GB2312" w:cs="仿宋_GB2312"/>
          <w:sz w:val="28"/>
          <w:szCs w:val="28"/>
          <w:highlight w:val="none"/>
          <w:lang w:val="en-US" w:eastAsia="zh-CN"/>
        </w:rPr>
        <w:t>法定代表人或</w:t>
      </w:r>
      <w:r>
        <w:rPr>
          <w:rFonts w:hint="eastAsia" w:ascii="仿宋_GB2312" w:hAnsi="仿宋_GB2312" w:eastAsia="仿宋_GB2312" w:cs="仿宋_GB2312"/>
          <w:sz w:val="28"/>
          <w:szCs w:val="28"/>
          <w:highlight w:val="none"/>
        </w:rPr>
        <w:t>委托代理人签字并加盖公章后生效。</w:t>
      </w:r>
    </w:p>
    <w:p w14:paraId="25071C1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本合同一式</w:t>
      </w:r>
      <w:r>
        <w:rPr>
          <w:rFonts w:hint="eastAsia" w:ascii="仿宋_GB2312" w:hAnsi="仿宋_GB2312" w:eastAsia="仿宋_GB2312" w:cs="仿宋_GB2312"/>
          <w:bCs/>
          <w:sz w:val="28"/>
          <w:szCs w:val="28"/>
          <w:highlight w:val="none"/>
          <w:u w:val="single"/>
        </w:rPr>
        <w:t xml:space="preserve"> </w:t>
      </w:r>
      <w:r>
        <w:rPr>
          <w:rFonts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份，均具有同等法律效力，发包人执</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份，承包人执</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份。</w:t>
      </w:r>
    </w:p>
    <w:p w14:paraId="39DDB9F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7204F7A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786EC499">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7DE26092">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2A3E0577">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171EF27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484B9C3C">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19566BF4">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598AACD8">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7B2CB256">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69CC1F9E">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3C94663C">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4B16539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532CAFF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17520A6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37CC8749">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highlight w:val="none"/>
        </w:rPr>
      </w:pPr>
    </w:p>
    <w:p w14:paraId="107807EC">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（本页为协议签署页）</w:t>
      </w:r>
    </w:p>
    <w:p w14:paraId="5DEF2119">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p>
    <w:tbl>
      <w:tblPr>
        <w:tblStyle w:val="45"/>
        <w:tblW w:w="9060" w:type="dxa"/>
        <w:jc w:val="center"/>
        <w:tblLayout w:type="fixed"/>
        <w:tblCellMar>
          <w:top w:w="0" w:type="dxa"/>
          <w:left w:w="108" w:type="dxa"/>
          <w:bottom w:w="0" w:type="dxa"/>
          <w:right w:w="108" w:type="dxa"/>
        </w:tblCellMar>
      </w:tblPr>
      <w:tblGrid>
        <w:gridCol w:w="4530"/>
        <w:gridCol w:w="4530"/>
      </w:tblGrid>
      <w:tr w14:paraId="0D4D4EF6">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7A398D22">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发包人：(公章)</w:t>
            </w:r>
          </w:p>
        </w:tc>
        <w:tc>
          <w:tcPr>
            <w:tcW w:w="4530" w:type="dxa"/>
            <w:shd w:val="clear" w:color="auto" w:fill="auto"/>
            <w:vAlign w:val="center"/>
          </w:tcPr>
          <w:p w14:paraId="7BE5A113">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承包人：(公章)</w:t>
            </w:r>
          </w:p>
        </w:tc>
      </w:tr>
      <w:tr w14:paraId="2A67C881">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381AE99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法定代表人或其委托代理人：</w:t>
            </w:r>
          </w:p>
          <w:p w14:paraId="7A258971">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（签字）</w:t>
            </w:r>
          </w:p>
        </w:tc>
        <w:tc>
          <w:tcPr>
            <w:tcW w:w="4530" w:type="dxa"/>
            <w:shd w:val="clear" w:color="auto" w:fill="auto"/>
            <w:vAlign w:val="center"/>
          </w:tcPr>
          <w:p w14:paraId="13F36CC1">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法定代表人或其委托代理人：</w:t>
            </w:r>
          </w:p>
          <w:p w14:paraId="73428D8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（签字）</w:t>
            </w:r>
          </w:p>
        </w:tc>
      </w:tr>
      <w:tr w14:paraId="11C199EF">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0A8EAFA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统一社会信用代码：</w:t>
            </w:r>
          </w:p>
        </w:tc>
        <w:tc>
          <w:tcPr>
            <w:tcW w:w="4530" w:type="dxa"/>
            <w:shd w:val="clear" w:color="auto" w:fill="auto"/>
            <w:vAlign w:val="center"/>
          </w:tcPr>
          <w:p w14:paraId="49E42AB5">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统一社会信用代码：</w:t>
            </w:r>
          </w:p>
        </w:tc>
      </w:tr>
      <w:tr w14:paraId="020CD6BB">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36D16002">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地址：</w:t>
            </w:r>
          </w:p>
        </w:tc>
        <w:tc>
          <w:tcPr>
            <w:tcW w:w="4530" w:type="dxa"/>
            <w:shd w:val="clear" w:color="auto" w:fill="auto"/>
            <w:vAlign w:val="center"/>
          </w:tcPr>
          <w:p w14:paraId="5233677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地址：</w:t>
            </w:r>
          </w:p>
        </w:tc>
      </w:tr>
      <w:tr w14:paraId="50D4DECA">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0BE4E50B">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邮政编码：</w:t>
            </w:r>
          </w:p>
        </w:tc>
        <w:tc>
          <w:tcPr>
            <w:tcW w:w="4530" w:type="dxa"/>
            <w:shd w:val="clear" w:color="auto" w:fill="auto"/>
            <w:vAlign w:val="center"/>
          </w:tcPr>
          <w:p w14:paraId="3F04828E">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邮政编码：</w:t>
            </w:r>
          </w:p>
        </w:tc>
      </w:tr>
      <w:tr w14:paraId="7A35D3C9">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21BBCBA7">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法定代表人：</w:t>
            </w:r>
          </w:p>
        </w:tc>
        <w:tc>
          <w:tcPr>
            <w:tcW w:w="4530" w:type="dxa"/>
            <w:shd w:val="clear" w:color="auto" w:fill="auto"/>
            <w:vAlign w:val="center"/>
          </w:tcPr>
          <w:p w14:paraId="6CDA7B8A">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法定代表人：</w:t>
            </w:r>
          </w:p>
        </w:tc>
      </w:tr>
      <w:tr w14:paraId="08AEF678">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118875BE">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委托代理人：</w:t>
            </w:r>
          </w:p>
        </w:tc>
        <w:tc>
          <w:tcPr>
            <w:tcW w:w="4530" w:type="dxa"/>
            <w:shd w:val="clear" w:color="auto" w:fill="auto"/>
            <w:vAlign w:val="center"/>
          </w:tcPr>
          <w:p w14:paraId="586CBFE5">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委托代理人：</w:t>
            </w:r>
          </w:p>
        </w:tc>
      </w:tr>
      <w:tr w14:paraId="20DA2D8B">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49086470">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电话：</w:t>
            </w:r>
          </w:p>
        </w:tc>
        <w:tc>
          <w:tcPr>
            <w:tcW w:w="4530" w:type="dxa"/>
            <w:shd w:val="clear" w:color="auto" w:fill="auto"/>
            <w:vAlign w:val="center"/>
          </w:tcPr>
          <w:p w14:paraId="4F69F284">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电话：</w:t>
            </w:r>
          </w:p>
        </w:tc>
      </w:tr>
      <w:tr w14:paraId="0FAEF5B2">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497A7797">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传真：</w:t>
            </w:r>
          </w:p>
        </w:tc>
        <w:tc>
          <w:tcPr>
            <w:tcW w:w="4530" w:type="dxa"/>
            <w:shd w:val="clear" w:color="auto" w:fill="auto"/>
            <w:vAlign w:val="center"/>
          </w:tcPr>
          <w:p w14:paraId="6064939C">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传真：</w:t>
            </w:r>
          </w:p>
        </w:tc>
      </w:tr>
      <w:tr w14:paraId="49C2F11E">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5F220A2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电子信箱：</w:t>
            </w:r>
          </w:p>
        </w:tc>
        <w:tc>
          <w:tcPr>
            <w:tcW w:w="4530" w:type="dxa"/>
            <w:shd w:val="clear" w:color="auto" w:fill="auto"/>
            <w:vAlign w:val="center"/>
          </w:tcPr>
          <w:p w14:paraId="0D04BEDE">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电子信箱：</w:t>
            </w:r>
          </w:p>
        </w:tc>
      </w:tr>
      <w:tr w14:paraId="0FB68BB9">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43F28CFD">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开户银行：</w:t>
            </w:r>
          </w:p>
        </w:tc>
        <w:tc>
          <w:tcPr>
            <w:tcW w:w="4530" w:type="dxa"/>
            <w:shd w:val="clear" w:color="auto" w:fill="auto"/>
            <w:vAlign w:val="center"/>
          </w:tcPr>
          <w:p w14:paraId="764D78C5">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开户银行：</w:t>
            </w:r>
          </w:p>
        </w:tc>
      </w:tr>
      <w:tr w14:paraId="0C365309">
        <w:tblPrEx>
          <w:tblCellMar>
            <w:top w:w="0" w:type="dxa"/>
            <w:left w:w="108" w:type="dxa"/>
            <w:bottom w:w="0" w:type="dxa"/>
            <w:right w:w="108" w:type="dxa"/>
          </w:tblCellMar>
        </w:tblPrEx>
        <w:trPr>
          <w:trHeight w:val="454" w:hRule="atLeast"/>
          <w:jc w:val="center"/>
        </w:trPr>
        <w:tc>
          <w:tcPr>
            <w:tcW w:w="4530" w:type="dxa"/>
            <w:shd w:val="clear" w:color="auto" w:fill="auto"/>
            <w:vAlign w:val="center"/>
          </w:tcPr>
          <w:p w14:paraId="31BF0AA4">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账号：</w:t>
            </w:r>
          </w:p>
        </w:tc>
        <w:tc>
          <w:tcPr>
            <w:tcW w:w="4530" w:type="dxa"/>
            <w:shd w:val="clear" w:color="auto" w:fill="auto"/>
            <w:vAlign w:val="center"/>
          </w:tcPr>
          <w:p w14:paraId="18C80C4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账号：</w:t>
            </w:r>
          </w:p>
        </w:tc>
      </w:tr>
    </w:tbl>
    <w:p w14:paraId="40C0F701">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z w:val="28"/>
          <w:szCs w:val="28"/>
          <w:highlight w:val="none"/>
        </w:rPr>
      </w:pPr>
    </w:p>
    <w:p w14:paraId="549147FD">
      <w:pPr>
        <w:pStyle w:val="3"/>
        <w:keepNext w:val="0"/>
        <w:keepLines w:val="0"/>
        <w:pageBreakBefore w:val="0"/>
        <w:widowControl w:val="0"/>
        <w:kinsoku/>
        <w:overflowPunct/>
        <w:topLinePunct w:val="0"/>
        <w:autoSpaceDE/>
        <w:autoSpaceDN/>
        <w:bidi w:val="0"/>
        <w:adjustRightInd w:val="0"/>
        <w:snapToGrid w:val="0"/>
        <w:spacing w:before="0" w:beforeLines="0" w:after="0" w:afterLines="0" w:line="560" w:lineRule="exact"/>
        <w:ind w:left="596" w:leftChars="0" w:right="0" w:rightChars="0" w:hanging="596" w:hangingChars="135"/>
        <w:jc w:val="center"/>
        <w:textAlignment w:val="auto"/>
        <w:rPr>
          <w:rFonts w:ascii="仿宋_GB2312" w:hAnsi="仿宋_GB2312" w:eastAsia="仿宋_GB2312" w:cs="仿宋_GB2312"/>
          <w:b w:val="0"/>
          <w:szCs w:val="28"/>
          <w:highlight w:val="none"/>
        </w:rPr>
      </w:pPr>
      <w:r>
        <w:rPr>
          <w:rFonts w:hint="eastAsia" w:ascii="仿宋_GB2312" w:hAnsi="仿宋_GB2312" w:eastAsia="仿宋_GB2312" w:cs="仿宋_GB2312"/>
          <w:szCs w:val="28"/>
          <w:highlight w:val="none"/>
        </w:rPr>
        <w:br w:type="page"/>
      </w:r>
      <w:bookmarkStart w:id="41" w:name="_Toc9197"/>
      <w:r>
        <w:rPr>
          <w:rFonts w:hint="eastAsia" w:ascii="仿宋_GB2312" w:hAnsi="仿宋_GB2312" w:eastAsia="仿宋_GB2312" w:cs="仿宋_GB2312"/>
          <w:b w:val="0"/>
          <w:szCs w:val="28"/>
          <w:highlight w:val="none"/>
        </w:rPr>
        <w:t>第二部分  通用条款</w:t>
      </w:r>
      <w:bookmarkEnd w:id="41"/>
    </w:p>
    <w:p w14:paraId="0A3459B5">
      <w:pPr>
        <w:pageBreakBefore w:val="0"/>
        <w:kinsoku/>
        <w:overflowPunct/>
        <w:topLinePunct w:val="0"/>
        <w:autoSpaceDE/>
        <w:autoSpaceDN/>
        <w:bidi w:val="0"/>
        <w:adjustRightInd w:val="0"/>
        <w:snapToGrid w:val="0"/>
        <w:spacing w:line="560" w:lineRule="exact"/>
        <w:ind w:left="0" w:leftChars="0" w:right="0" w:rightChars="0" w:firstLine="198"/>
        <w:jc w:val="left"/>
        <w:textAlignment w:val="auto"/>
        <w:outlineLvl w:val="1"/>
        <w:rPr>
          <w:rFonts w:ascii="仿宋_GB2312" w:hAnsi="仿宋_GB2312" w:eastAsia="仿宋_GB2312" w:cs="仿宋_GB2312"/>
          <w:b/>
          <w:bCs/>
          <w:sz w:val="28"/>
          <w:szCs w:val="28"/>
          <w:highlight w:val="none"/>
        </w:rPr>
      </w:pPr>
      <w:bookmarkStart w:id="42" w:name="_Toc28729"/>
      <w:r>
        <w:rPr>
          <w:rFonts w:hint="eastAsia" w:ascii="仿宋_GB2312" w:hAnsi="仿宋_GB2312" w:eastAsia="仿宋_GB2312" w:cs="仿宋_GB2312"/>
          <w:b/>
          <w:bCs/>
          <w:sz w:val="28"/>
          <w:szCs w:val="28"/>
          <w:highlight w:val="none"/>
        </w:rPr>
        <w:t>1.词语定义</w:t>
      </w:r>
      <w:bookmarkEnd w:id="42"/>
    </w:p>
    <w:p w14:paraId="51F96F1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下列词语除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另有约定外，应具有本条所赋予的定义：</w:t>
      </w:r>
    </w:p>
    <w:p w14:paraId="411AC37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43" w:name="_Toc20860"/>
      <w:r>
        <w:rPr>
          <w:rFonts w:hint="eastAsia" w:ascii="仿宋_GB2312" w:hAnsi="仿宋_GB2312" w:eastAsia="仿宋_GB2312" w:cs="仿宋_GB2312"/>
          <w:b/>
          <w:sz w:val="28"/>
          <w:szCs w:val="28"/>
          <w:highlight w:val="none"/>
        </w:rPr>
        <w:t>1.1合同主体与参与各方</w:t>
      </w:r>
      <w:bookmarkEnd w:id="43"/>
    </w:p>
    <w:p w14:paraId="2629032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⑴发包人：指本合同指明执行本工程投资或负责管理本工程的、具有相应工程发包主体资格和支付工程价款能力的当事人，以及取得该资格和能力的合法继承人。</w:t>
      </w:r>
    </w:p>
    <w:p w14:paraId="2B70AFF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⑵发包人代表：指由发包人任命的行使发包人在本合同约定的权利和义务的代表。</w:t>
      </w:r>
    </w:p>
    <w:p w14:paraId="791684D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⑶承包人：指其投标文件已为发包人所接受，并与发包人签订了合同协议书承建本工程、具有相应工程施工资质的当事人，以及取得该资格的合法继承人。</w:t>
      </w:r>
    </w:p>
    <w:p w14:paraId="5CE6304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⑷项目经理：指由承包人任命常驻现场、并取得相应资格的工程管理人员，代表承包人履行本合同约定的权利和义务。</w:t>
      </w:r>
    </w:p>
    <w:p w14:paraId="745A94F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⑸专业工程承包人：指与发包人签订专业工程施工合同并承建该合同指定专业工程的、具有相应工程施工资质的当事人，以及取得该当事人资格的合法继承人。</w:t>
      </w:r>
    </w:p>
    <w:p w14:paraId="3683B4B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⑹分包人：指经发包人认可并与承包人签订了分包合同承建本工程部分工程的、具有相应工程施工资质的当事人，以及取得该当事人资格的合法继承人。</w:t>
      </w:r>
    </w:p>
    <w:p w14:paraId="4FF834F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⑺监理人：指由发包人委托的负责本工程监理工作并取得相应工程监理资质的当事人，以及取得该当事人资格的合法继承人。</w:t>
      </w:r>
    </w:p>
    <w:p w14:paraId="761789E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⑻总监理工程师：指监理人指派常驻现场履行监理人职责的代表。</w:t>
      </w:r>
    </w:p>
    <w:p w14:paraId="0EE983C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⑼设计人：指发包人委托的负责本工程设计并取得相应工程设计资质的当事人，以及取得该当事人资格的合法继承人。</w:t>
      </w:r>
    </w:p>
    <w:p w14:paraId="05E810F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44" w:name="_Toc26860"/>
      <w:r>
        <w:rPr>
          <w:rFonts w:hint="eastAsia" w:ascii="仿宋_GB2312" w:hAnsi="仿宋_GB2312" w:eastAsia="仿宋_GB2312" w:cs="仿宋_GB2312"/>
          <w:b/>
          <w:sz w:val="28"/>
          <w:szCs w:val="28"/>
          <w:highlight w:val="none"/>
        </w:rPr>
        <w:t>1.2合同文件</w:t>
      </w:r>
      <w:bookmarkEnd w:id="44"/>
    </w:p>
    <w:p w14:paraId="3A66F64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⑴合同：是指由承包人进行本工程施工并提供工程保修服务，发包人支付价款，约定双方权利义务的协议。合同由通用条款第2.1款所列的文件组成。</w:t>
      </w:r>
    </w:p>
    <w:p w14:paraId="26CB5D3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⑵图纸：指由发包人按本合同约定向承包人提供的全部设计图纸、计算书和性质类似的技术资料，或由承包人提交并经监理人批准的所有图纸、计算书和其他性质类似的技术资料。</w:t>
      </w:r>
    </w:p>
    <w:p w14:paraId="48CE3CC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⑶标准、规范：指本合同中约定的适用于本工程的技术标准、规范及其修改或补充。</w:t>
      </w:r>
    </w:p>
    <w:p w14:paraId="440EDC9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14:paraId="344CAEF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⑸书面形式：指合同、协议、信件和数据电文(包括电报、电传、传真、电子数据交换和电子邮件)等可以有形地表现所载内容的形式。</w:t>
      </w:r>
    </w:p>
    <w:p w14:paraId="0478B00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⑹其他合同文件：是指经承发包双方约定的与工程施工有关的具有合同约束力的文件或书面协议。承发包双方可以在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中进行约定。</w:t>
      </w:r>
    </w:p>
    <w:p w14:paraId="1A98B4F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45" w:name="_Toc2018"/>
      <w:r>
        <w:rPr>
          <w:rFonts w:hint="eastAsia" w:ascii="仿宋_GB2312" w:hAnsi="仿宋_GB2312" w:eastAsia="仿宋_GB2312" w:cs="仿宋_GB2312"/>
          <w:b/>
          <w:sz w:val="28"/>
          <w:szCs w:val="28"/>
          <w:highlight w:val="none"/>
        </w:rPr>
        <w:t>1.3工程、现场与装备</w:t>
      </w:r>
      <w:bookmarkEnd w:id="45"/>
    </w:p>
    <w:p w14:paraId="20C32B5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⑴永久工程：指根据本合同约定应实施的永久性工程，包括1.3⑻款所指的设备。</w:t>
      </w:r>
    </w:p>
    <w:p w14:paraId="0EF3684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⑵临时工程：指实施和完成本工程及其缺陷的修复过程中所需的各种临时性工程，但不包括1.3⑼款所指的承包人装备。</w:t>
      </w:r>
    </w:p>
    <w:p w14:paraId="0B240CB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⑶工程：指永久工程和临时工程，或视具体情况指两者中的任何一个。</w:t>
      </w:r>
    </w:p>
    <w:p w14:paraId="0A1214E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⑷单项工程：指本工程范围内、合同约定或能单独发挥效益的某一独立工程。</w:t>
      </w:r>
    </w:p>
    <w:p w14:paraId="3349FE9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⑸现场：指由发包人提供的用于本工程施工的场地以及发包人在本合同中具体指定构成现场一部分的其他场所。</w:t>
      </w:r>
    </w:p>
    <w:p w14:paraId="1952871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⑹永久占地：指为实施本工程而需要的长期占用的土地，具体期限以政府批准的土地使用年限为准。</w:t>
      </w:r>
    </w:p>
    <w:p w14:paraId="2C773EC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⑺临时占地：指为实施本工程而需要的一切临时占用土地，包括施工所用的临时支线、便道、便桥和现场的临时出入通道，以及生产、生活等临时设施用地等。</w:t>
      </w:r>
    </w:p>
    <w:p w14:paraId="2C344A0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⑻设备：指预定构成或构成永久工程一部分的机械、仪器、装置。</w:t>
      </w:r>
    </w:p>
    <w:p w14:paraId="47C05E9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⑼承包人装备：指属承包人所有(或租赁)的，为实施和完成本工程及其缺陷修复所需的机械、器具或物品。</w:t>
      </w:r>
    </w:p>
    <w:p w14:paraId="151BE8A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46" w:name="_Toc30304"/>
      <w:r>
        <w:rPr>
          <w:rFonts w:hint="eastAsia" w:ascii="仿宋_GB2312" w:hAnsi="仿宋_GB2312" w:eastAsia="仿宋_GB2312" w:cs="仿宋_GB2312"/>
          <w:b/>
          <w:sz w:val="28"/>
          <w:szCs w:val="28"/>
          <w:highlight w:val="none"/>
        </w:rPr>
        <w:t>1.4合同价格与费用</w:t>
      </w:r>
      <w:bookmarkEnd w:id="46"/>
    </w:p>
    <w:p w14:paraId="3380A51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⑴签约合同价：指在中标通知书和合同协议书中写明的，承包人按合同约定实施和完成本工程及其缺陷的修复应得到的价款。</w:t>
      </w:r>
    </w:p>
    <w:p w14:paraId="63DDA18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⑵合同价格：指发包人用于支付承包人按照合同约定完成承包范围内全部工作的金额，包括合同履行过程中按合同约定发生的价格变化。</w:t>
      </w:r>
    </w:p>
    <w:p w14:paraId="21453D7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⑶费用：指为履行合同所发生的或将要发生的所有必需的开支，包括管理费和应分摊的其他费用，但不包括利润。</w:t>
      </w:r>
    </w:p>
    <w:p w14:paraId="26DE91D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47" w:name="_Hlk4703574"/>
      <w:r>
        <w:rPr>
          <w:rFonts w:hint="eastAsia" w:ascii="仿宋_GB2312" w:hAnsi="仿宋_GB2312" w:eastAsia="仿宋_GB2312" w:cs="仿宋_GB2312"/>
          <w:sz w:val="28"/>
          <w:szCs w:val="28"/>
          <w:highlight w:val="none"/>
        </w:rPr>
        <w:t>⑷</w:t>
      </w:r>
      <w:bookmarkEnd w:id="47"/>
      <w:bookmarkStart w:id="48" w:name="_Hlk4703564"/>
      <w:r>
        <w:rPr>
          <w:rFonts w:hint="eastAsia" w:ascii="仿宋_GB2312" w:hAnsi="仿宋_GB2312" w:eastAsia="仿宋_GB2312" w:cs="仿宋_GB2312"/>
          <w:sz w:val="28"/>
          <w:szCs w:val="28"/>
          <w:highlight w:val="none"/>
        </w:rPr>
        <w:t>暂估价：是指发包人在工程量清单或预算书中提供的用于支付必然发生但暂时不能确定价格的材料、工程设备的单价、专业工程以及服务工作的金额。</w:t>
      </w:r>
    </w:p>
    <w:p w14:paraId="1F80916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bookmarkEnd w:id="48"/>
    <w:p w14:paraId="22A0002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⑹计日工：承包人在本合同履行过程中依发包人要求所完成的施工图纸以外的零星项目或工作。</w:t>
      </w:r>
    </w:p>
    <w:p w14:paraId="7F7E67A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⑺现场签证：发包人和承包人双方对其在本合同履行过程中涉及的相关责任事件所作的签认证明。</w:t>
      </w:r>
    </w:p>
    <w:p w14:paraId="4C09D79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⑻质量保证金：指承包人用于保证其在缺陷责任期内履行缺陷修补义务的担保。</w:t>
      </w:r>
    </w:p>
    <w:p w14:paraId="103C424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49" w:name="_Toc5940"/>
      <w:r>
        <w:rPr>
          <w:rFonts w:hint="eastAsia" w:ascii="仿宋_GB2312" w:hAnsi="仿宋_GB2312" w:eastAsia="仿宋_GB2312" w:cs="仿宋_GB2312"/>
          <w:b/>
          <w:sz w:val="28"/>
          <w:szCs w:val="28"/>
          <w:highlight w:val="none"/>
        </w:rPr>
        <w:t>1.5施工工期</w:t>
      </w:r>
      <w:bookmarkEnd w:id="49"/>
    </w:p>
    <w:p w14:paraId="03FA900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⑴计划开工日期：指发包人和承包人在本合同协议书中约定，承包人开始本工程施工的绝对或相对的日期。</w:t>
      </w:r>
    </w:p>
    <w:p w14:paraId="0DA365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⑵计划竣工日期：指发包人和承包人在本合同协议书中约定，承包人完成本工程施工的绝对或相对的日期。</w:t>
      </w:r>
    </w:p>
    <w:p w14:paraId="1C249C7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⑶合同工期：指发包人和承包人在本合同协议书中约定的，按总日历天数(包括法定节假日)计算的从开工日期至竣工日期的天数。</w:t>
      </w:r>
    </w:p>
    <w:p w14:paraId="60392F5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⑷定额工期：指按《深圳市建设工程施工工期定额》计算的本工程工期。《深圳市建设工程施工工期定额》缺项的专业工程，其定额工期由发包人组织专家论证评审确定。</w:t>
      </w:r>
    </w:p>
    <w:p w14:paraId="40B5B16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⑸实际开工日期：指工程具备开工条件，监理人向承包人发出开工通知书中指令的开始本工程施工的日期。</w:t>
      </w:r>
    </w:p>
    <w:p w14:paraId="22106B6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⑹实际竣工日期：指承包人按本合同约定承包范围和质量要求完成本工程施工并通过竣工验收的日期。</w:t>
      </w:r>
    </w:p>
    <w:p w14:paraId="66EEE59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⑺实际工期：指按总日历天数(包括法定节假日)计算的从实际开工日期至实际竣工日期的天数。</w:t>
      </w:r>
    </w:p>
    <w:p w14:paraId="0742B67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⑻交接证书：指本工程或本合同中约定有单独工期的单项工程竣工后，发包人和承包人进行本工程移交所签发的证书。</w:t>
      </w:r>
    </w:p>
    <w:p w14:paraId="7247E73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⑼缺陷责任期：是指承包人按照合同约定承担缺陷修复义务，且发包人预留质量保证金的期限，自工程实际竣工日期起计算。</w:t>
      </w:r>
    </w:p>
    <w:p w14:paraId="1CA0B3D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⑽保修期：是指承包人按照合同约定对工程承担保修责任的期限，从工程竣工验收合格之日起计算。</w:t>
      </w:r>
    </w:p>
    <w:p w14:paraId="0A05D48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⑾基准日期：以投标截止日前28天的日期为基准日期。</w:t>
      </w:r>
    </w:p>
    <w:p w14:paraId="38A72F2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0" w:name="_Toc17537"/>
      <w:r>
        <w:rPr>
          <w:rFonts w:hint="eastAsia" w:ascii="仿宋_GB2312" w:hAnsi="仿宋_GB2312" w:eastAsia="仿宋_GB2312" w:cs="仿宋_GB2312"/>
          <w:b/>
          <w:sz w:val="28"/>
          <w:szCs w:val="28"/>
          <w:highlight w:val="none"/>
        </w:rPr>
        <w:t>1.6其它</w:t>
      </w:r>
      <w:bookmarkEnd w:id="50"/>
    </w:p>
    <w:p w14:paraId="075FB38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⑴违约责任：指合同一方不履行合同义务或履行合同义务不符合约定所应承担的责任。</w:t>
      </w:r>
    </w:p>
    <w:p w14:paraId="7B07D11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⑵索赔：指在合同履行过程中，对于并非自己的过错、而应由对方承担责任的情况造成的损失，向对方提出经济补偿和(或)工期顺延的要求。</w:t>
      </w:r>
    </w:p>
    <w:p w14:paraId="4CD4D43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⑶不可抗力：发包人和承包人在合同签订时不能预见、对其发生的后果不能避免，并且不能克服的自然灾害和社会性突发事件。</w:t>
      </w:r>
    </w:p>
    <w:p w14:paraId="34368C2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p>
    <w:p w14:paraId="09E743C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⑸法定节假日：指星期六、星期天及国家法定的其它节假日。</w:t>
      </w:r>
    </w:p>
    <w:p w14:paraId="6AC9352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1" w:name="_Toc20274"/>
      <w:r>
        <w:rPr>
          <w:rFonts w:hint="eastAsia" w:ascii="仿宋_GB2312" w:hAnsi="仿宋_GB2312" w:eastAsia="仿宋_GB2312" w:cs="仿宋_GB2312"/>
          <w:b/>
          <w:sz w:val="28"/>
          <w:szCs w:val="28"/>
          <w:highlight w:val="none"/>
        </w:rPr>
        <w:t>1.7标题</w:t>
      </w:r>
      <w:bookmarkEnd w:id="51"/>
    </w:p>
    <w:p w14:paraId="57645CE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本合同条款的标题不视为合同条款或合同本身的一部分，在解释及推定合同条款时，不列入考虑。</w:t>
      </w:r>
    </w:p>
    <w:p w14:paraId="358936E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2" w:name="_Toc29061"/>
      <w:r>
        <w:rPr>
          <w:rFonts w:hint="eastAsia" w:ascii="仿宋_GB2312" w:hAnsi="仿宋_GB2312" w:eastAsia="仿宋_GB2312" w:cs="仿宋_GB2312"/>
          <w:b/>
          <w:sz w:val="28"/>
          <w:szCs w:val="28"/>
          <w:highlight w:val="none"/>
        </w:rPr>
        <w:t>1.8书面形式</w:t>
      </w:r>
      <w:bookmarkEnd w:id="52"/>
    </w:p>
    <w:p w14:paraId="4A1C9F9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⑴本合同另有约定外，在合同履行过程中承发包双方发出或发布的任何通知、指令，均应是书面的，收件方应在回执上签署姓名和收到时间，不应无理扣压或拖延。</w:t>
      </w:r>
    </w:p>
    <w:p w14:paraId="72772F6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⑵本合同在签订过程中应由打印形成，除承发包双方的法定代表人或授权代表签名外，如需手写的，所有手写部分必须由同一人手写。发包人和承包人应共同指定填写人，并在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中明确填写人的姓名和身份证号码。</w:t>
      </w:r>
    </w:p>
    <w:p w14:paraId="30CA44EA">
      <w:pPr>
        <w:pageBreakBefore w:val="0"/>
        <w:kinsoku/>
        <w:overflowPunct/>
        <w:topLinePunct w:val="0"/>
        <w:autoSpaceDE/>
        <w:autoSpaceDN/>
        <w:bidi w:val="0"/>
        <w:adjustRightInd w:val="0"/>
        <w:snapToGrid w:val="0"/>
        <w:spacing w:line="560" w:lineRule="exact"/>
        <w:ind w:left="0" w:leftChars="0" w:right="0" w:rightChars="0" w:firstLine="198"/>
        <w:jc w:val="left"/>
        <w:textAlignment w:val="auto"/>
        <w:outlineLvl w:val="1"/>
        <w:rPr>
          <w:rFonts w:ascii="仿宋_GB2312" w:hAnsi="仿宋_GB2312" w:eastAsia="仿宋_GB2312" w:cs="仿宋_GB2312"/>
          <w:sz w:val="28"/>
          <w:szCs w:val="28"/>
          <w:highlight w:val="none"/>
        </w:rPr>
      </w:pPr>
      <w:bookmarkStart w:id="53" w:name="_Toc5322"/>
      <w:r>
        <w:rPr>
          <w:rFonts w:hint="eastAsia" w:ascii="仿宋_GB2312" w:hAnsi="仿宋_GB2312" w:eastAsia="仿宋_GB2312" w:cs="仿宋_GB2312"/>
          <w:sz w:val="28"/>
          <w:szCs w:val="28"/>
          <w:highlight w:val="none"/>
        </w:rPr>
        <w:t>2.一般约定</w:t>
      </w:r>
      <w:bookmarkEnd w:id="53"/>
    </w:p>
    <w:p w14:paraId="4275BFC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4" w:name="_Toc22509"/>
      <w:r>
        <w:rPr>
          <w:rFonts w:hint="eastAsia" w:ascii="仿宋_GB2312" w:hAnsi="仿宋_GB2312" w:eastAsia="仿宋_GB2312" w:cs="仿宋_GB2312"/>
          <w:b/>
          <w:sz w:val="28"/>
          <w:szCs w:val="28"/>
          <w:highlight w:val="none"/>
        </w:rPr>
        <w:t>2.1合同文件组成及解释顺序</w:t>
      </w:r>
      <w:bookmarkEnd w:id="54"/>
    </w:p>
    <w:p w14:paraId="68C2923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在合同订立及履行过程中形成的与合同有关的文件均构成合同文件组成部分。组成合同的各个文件应该是一个整体，彼此相互解释，互为说明。本合同组成文件及优先解释顺序如下：</w:t>
      </w:r>
    </w:p>
    <w:p w14:paraId="33BA77B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⑴本合同签订后双方新签订的补充协议；</w:t>
      </w:r>
    </w:p>
    <w:p w14:paraId="44DEBBF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⑵合同协议书；</w:t>
      </w:r>
    </w:p>
    <w:p w14:paraId="7F0D6B9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⑶中标通知书及其附件；</w:t>
      </w:r>
    </w:p>
    <w:p w14:paraId="3D2902C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⑷合同补充条款；</w:t>
      </w:r>
    </w:p>
    <w:p w14:paraId="2AB6BE7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⑸合同专用条款；</w:t>
      </w:r>
    </w:p>
    <w:p w14:paraId="1DA35F1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⑹合同通用条款；</w:t>
      </w:r>
    </w:p>
    <w:p w14:paraId="59641A2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⑺本工程招标文件中的技术要求和投标报价规定；</w:t>
      </w:r>
    </w:p>
    <w:p w14:paraId="1CBF9D0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⑻投标文件(包括承包人在评标期间和合同谈判过程中递交和确认并经发包人同意的对有关问题的补充资料和澄清文件等)；</w:t>
      </w:r>
    </w:p>
    <w:p w14:paraId="71007F6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⑼现行的标准、规范、规定及有关技术文件；</w:t>
      </w:r>
    </w:p>
    <w:p w14:paraId="2BF3194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⑽图纸和技术规格书；</w:t>
      </w:r>
    </w:p>
    <w:p w14:paraId="7D903CB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⑾已标价工程量清单；</w:t>
      </w:r>
    </w:p>
    <w:p w14:paraId="16FA211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⑿发包人和承包人双方有关本工程的变更、签证、洽商、索赔、询价采购凭证等书面文件及组成合同的其他文件。</w:t>
      </w:r>
    </w:p>
    <w:p w14:paraId="3EC02ED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上述各项合同文件包括承发包双方就该项合同文件所作出的补充和修改，属于同一类内容的文件，应以最新签署的为准。</w:t>
      </w:r>
    </w:p>
    <w:p w14:paraId="240EB61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5" w:name="_Toc25757"/>
      <w:r>
        <w:rPr>
          <w:rFonts w:hint="eastAsia" w:ascii="仿宋_GB2312" w:hAnsi="仿宋_GB2312" w:eastAsia="仿宋_GB2312" w:cs="仿宋_GB2312"/>
          <w:b/>
          <w:sz w:val="28"/>
          <w:szCs w:val="28"/>
          <w:highlight w:val="none"/>
        </w:rPr>
        <w:t>2.2合同文件内容争议</w:t>
      </w:r>
      <w:bookmarkEnd w:id="55"/>
    </w:p>
    <w:p w14:paraId="19D8830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当合同文件内容含糊不清或相互矛盾时，由发包人与承包人在不影响本工程正常实施的情况下协商解决，并达成补充协议予以明确约定。双方协商不成的，按通用条款第30条［争议解决］的约定处理。</w:t>
      </w:r>
    </w:p>
    <w:p w14:paraId="68594B2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6" w:name="_Toc25970"/>
      <w:r>
        <w:rPr>
          <w:rFonts w:hint="eastAsia" w:ascii="仿宋_GB2312" w:hAnsi="仿宋_GB2312" w:eastAsia="仿宋_GB2312" w:cs="仿宋_GB2312"/>
          <w:b/>
          <w:sz w:val="28"/>
          <w:szCs w:val="28"/>
          <w:highlight w:val="none"/>
        </w:rPr>
        <w:t>2.3语言文字</w:t>
      </w:r>
      <w:bookmarkEnd w:id="56"/>
    </w:p>
    <w:p w14:paraId="4A66B7F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本合同文件使用汉语语言文字书写、解释和说明。</w:t>
      </w:r>
    </w:p>
    <w:p w14:paraId="7B4BA75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7" w:name="_Toc12976"/>
      <w:r>
        <w:rPr>
          <w:rFonts w:hint="eastAsia" w:ascii="仿宋_GB2312" w:hAnsi="仿宋_GB2312" w:eastAsia="仿宋_GB2312" w:cs="仿宋_GB2312"/>
          <w:b/>
          <w:sz w:val="28"/>
          <w:szCs w:val="28"/>
          <w:highlight w:val="none"/>
        </w:rPr>
        <w:t>2.4法律、法规和规章</w:t>
      </w:r>
      <w:bookmarkEnd w:id="57"/>
    </w:p>
    <w:p w14:paraId="7A47AA6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本合同适用中华人民共和国法律、法规和规章，以及本工程所在地的地方性法规和规章。需要明示的法律、法规和规章，由发包人和承包人在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w:t>
      </w:r>
    </w:p>
    <w:p w14:paraId="6A5E619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8" w:name="_Toc20080"/>
      <w:r>
        <w:rPr>
          <w:rFonts w:hint="eastAsia" w:ascii="仿宋_GB2312" w:hAnsi="仿宋_GB2312" w:eastAsia="仿宋_GB2312" w:cs="仿宋_GB2312"/>
          <w:b/>
          <w:sz w:val="28"/>
          <w:szCs w:val="28"/>
          <w:highlight w:val="none"/>
        </w:rPr>
        <w:t>2.5标准、规范</w:t>
      </w:r>
      <w:bookmarkEnd w:id="58"/>
    </w:p>
    <w:p w14:paraId="6C8767E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p>
    <w:p w14:paraId="104AB4B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⑵发包人对工程的技术标准、功能要求高于或严于现行国家、行业或地方标准的，应当在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中予以明确。除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中另有约定外，应视为承包人在签订合同前已充分预见前述技术标准和功能要求的复杂程度，签约合同价中已包含由此产生的费用。</w:t>
      </w:r>
    </w:p>
    <w:p w14:paraId="2D9D563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⑶国内没有相应标准、规范的，以设计文件、产品说明书或承包人提交的且由发包人和监理人批准的技术方案为准。发包人要求使用国外标准、规范的，发包人负责提供原文版本和中文译本。</w:t>
      </w:r>
    </w:p>
    <w:p w14:paraId="21798BF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⑷用于本工程的标准、规范按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中约定的方式提供。</w:t>
      </w:r>
    </w:p>
    <w:p w14:paraId="3F6F188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59" w:name="_Toc22708"/>
      <w:r>
        <w:rPr>
          <w:rFonts w:hint="eastAsia" w:ascii="仿宋_GB2312" w:hAnsi="仿宋_GB2312" w:eastAsia="仿宋_GB2312" w:cs="仿宋_GB2312"/>
          <w:b/>
          <w:sz w:val="28"/>
          <w:szCs w:val="28"/>
          <w:highlight w:val="none"/>
        </w:rPr>
        <w:t>2.6图纸和技术资料的提供</w:t>
      </w:r>
      <w:bookmarkEnd w:id="59"/>
    </w:p>
    <w:p w14:paraId="00D60C3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和数量向承包人提供由发包人委托的设计人设计的全部施工图纸和其他技术资料，并组织向承包人进行技术交底。承包人需要增加图纸和资料套数的，应自费复制。发包人至迟不得晚于第11.1款［开工］中开工通知书载明的开工日期前14天向承包人提供图纸。</w:t>
      </w:r>
    </w:p>
    <w:p w14:paraId="202A7DF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⑵承包人应在施工现场保留一套完整的图纸，供监理人及有关人员进行工程检查时使用。</w:t>
      </w:r>
    </w:p>
    <w:p w14:paraId="40942E0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⑶如</w:t>
      </w:r>
      <w:bookmarkStart w:id="60" w:name="_Hlk4710901"/>
      <w:r>
        <w:rPr>
          <w:rFonts w:hint="eastAsia" w:ascii="仿宋_GB2312" w:hAnsi="仿宋_GB2312" w:eastAsia="仿宋_GB2312" w:cs="仿宋_GB2312"/>
          <w:sz w:val="28"/>
          <w:szCs w:val="28"/>
          <w:highlight w:val="none"/>
        </w:rPr>
        <w:t>发包人提供的图纸和资料不完整</w:t>
      </w:r>
      <w:bookmarkEnd w:id="60"/>
      <w:r>
        <w:rPr>
          <w:rFonts w:hint="eastAsia" w:ascii="仿宋_GB2312" w:hAnsi="仿宋_GB2312" w:eastAsia="仿宋_GB2312" w:cs="仿宋_GB2312"/>
          <w:sz w:val="28"/>
          <w:szCs w:val="28"/>
          <w:highlight w:val="none"/>
        </w:rPr>
        <w:t>，承包人应在本工程开工前7日向发包人提交书面报告，列明在不影响进度的条件下，发包人在整个施工期内应向承包人提供补充的图纸及资料的种类及最后期限。发包人收到书面报告后应及时通知设计人予以补充，并按照2.6(1)款约定的时间和数量提供给承包人。</w:t>
      </w:r>
    </w:p>
    <w:p w14:paraId="75DB69F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61" w:name="_Hlk4711135"/>
      <w:r>
        <w:rPr>
          <w:rFonts w:hint="eastAsia" w:ascii="仿宋_GB2312" w:hAnsi="仿宋_GB2312" w:eastAsia="仿宋_GB2312" w:cs="仿宋_GB2312"/>
          <w:sz w:val="28"/>
          <w:szCs w:val="28"/>
          <w:highlight w:val="none"/>
        </w:rPr>
        <w:t>⑷承包人在收到发包人提供的图纸后，发现</w:t>
      </w:r>
      <w:bookmarkStart w:id="62" w:name="_Hlk4710919"/>
      <w:r>
        <w:rPr>
          <w:rFonts w:hint="eastAsia" w:ascii="仿宋_GB2312" w:hAnsi="仿宋_GB2312" w:eastAsia="仿宋_GB2312" w:cs="仿宋_GB2312"/>
          <w:sz w:val="28"/>
          <w:szCs w:val="28"/>
          <w:highlight w:val="none"/>
        </w:rPr>
        <w:t>图纸存在差错、遗漏或缺陷的</w:t>
      </w:r>
      <w:bookmarkEnd w:id="62"/>
      <w:r>
        <w:rPr>
          <w:rFonts w:hint="eastAsia" w:ascii="仿宋_GB2312" w:hAnsi="仿宋_GB2312" w:eastAsia="仿宋_GB2312" w:cs="仿宋_GB2312"/>
          <w:sz w:val="28"/>
          <w:szCs w:val="28"/>
          <w:highlight w:val="none"/>
        </w:rPr>
        <w:t>，应在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约定的时限内通知监理人。监理人接到该通知后，应附具相关意见并在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约定的时限内报送发包人，发包人应在收到监理人报送的通知后在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约定的时限内作出决定。</w:t>
      </w:r>
    </w:p>
    <w:bookmarkEnd w:id="61"/>
    <w:p w14:paraId="6D0B865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63" w:name="_Toc10635"/>
      <w:r>
        <w:rPr>
          <w:rFonts w:hint="eastAsia" w:ascii="仿宋_GB2312" w:hAnsi="仿宋_GB2312" w:eastAsia="仿宋_GB2312" w:cs="仿宋_GB2312"/>
          <w:b/>
          <w:sz w:val="28"/>
          <w:szCs w:val="28"/>
          <w:highlight w:val="none"/>
        </w:rPr>
        <w:t>2.7图纸和资料提供的延误</w:t>
      </w:r>
      <w:bookmarkEnd w:id="63"/>
    </w:p>
    <w:p w14:paraId="3E9ECF5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⑴因发包人未能按约定提供图纸和资料，打乱工程施工进度计划，给承包人造成损失和(或)导致工期延误的，发包人应赔偿承包人损失和(或)顺延延误的工期。</w:t>
      </w:r>
    </w:p>
    <w:p w14:paraId="76318DE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⑵发包人之所以不能按约定提供图纸和资料，是因为承包人未能提交本合同约定应由其提交的资料或提交的资料有误所致，则承包人无权要求发包人赔偿损失、顺延工期。</w:t>
      </w:r>
    </w:p>
    <w:p w14:paraId="1458428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64" w:name="_Toc3980"/>
      <w:bookmarkStart w:id="65" w:name="_Hlk4711176"/>
      <w:r>
        <w:rPr>
          <w:rFonts w:hint="eastAsia" w:ascii="仿宋_GB2312" w:hAnsi="仿宋_GB2312" w:eastAsia="仿宋_GB2312" w:cs="仿宋_GB2312"/>
          <w:b/>
          <w:sz w:val="28"/>
          <w:szCs w:val="28"/>
          <w:highlight w:val="none"/>
        </w:rPr>
        <w:t>2.8补充图纸和资料</w:t>
      </w:r>
      <w:bookmarkEnd w:id="64"/>
    </w:p>
    <w:p w14:paraId="17CA88A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发包人为满足本工程的正确实施和完成及其缺陷修复所需，可委托设计人设计补充图纸(含深化设计图纸)和技术资料，并按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约定的时间和数量向承包人发出，承包人应予执行。</w:t>
      </w:r>
    </w:p>
    <w:bookmarkEnd w:id="65"/>
    <w:p w14:paraId="4C5146C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66" w:name="_Toc7589"/>
      <w:r>
        <w:rPr>
          <w:rFonts w:hint="eastAsia" w:ascii="仿宋_GB2312" w:hAnsi="仿宋_GB2312" w:eastAsia="仿宋_GB2312" w:cs="仿宋_GB2312"/>
          <w:b/>
          <w:sz w:val="28"/>
          <w:szCs w:val="28"/>
          <w:highlight w:val="none"/>
        </w:rPr>
        <w:t>2.9临时工程图纸</w:t>
      </w:r>
      <w:bookmarkEnd w:id="66"/>
    </w:p>
    <w:p w14:paraId="0C1CFF8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当监理人认为需要时，承包人应提交本工程临时工程的设计图纸一式3份，供监理人批准或备查。</w:t>
      </w:r>
    </w:p>
    <w:p w14:paraId="47629A7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67" w:name="_Toc5623"/>
      <w:r>
        <w:rPr>
          <w:rFonts w:hint="eastAsia" w:ascii="仿宋_GB2312" w:hAnsi="仿宋_GB2312" w:eastAsia="仿宋_GB2312" w:cs="仿宋_GB2312"/>
          <w:b/>
          <w:sz w:val="28"/>
          <w:szCs w:val="28"/>
          <w:highlight w:val="none"/>
        </w:rPr>
        <w:t>2.10竣工图</w:t>
      </w:r>
      <w:bookmarkEnd w:id="67"/>
    </w:p>
    <w:p w14:paraId="6F602E1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另有约定外，在本工程竣工验收之前，承包人须按政府建设行政主管部门及政府档案主管部门有关技术档案管理要求编制整理竣工图，报监理人审核后移交给发包人。</w:t>
      </w:r>
    </w:p>
    <w:p w14:paraId="6B3819F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竣工图内容应与工程实物相符，加盖竣工图章，由承包人本工程技术负责人签名，并按规定要求叠折、装订和组卷。承包人应向政府档案主管部门和发包人各提交一份竣工图及电子文档，交政府档案主管部门的竣工图需要由设计人加盖设计人公章。</w:t>
      </w:r>
    </w:p>
    <w:p w14:paraId="2DB4ABD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68" w:name="_Toc23647"/>
      <w:r>
        <w:rPr>
          <w:rFonts w:hint="eastAsia" w:ascii="仿宋_GB2312" w:hAnsi="仿宋_GB2312" w:eastAsia="仿宋_GB2312" w:cs="仿宋_GB2312"/>
          <w:b/>
          <w:sz w:val="28"/>
          <w:szCs w:val="28"/>
          <w:highlight w:val="none"/>
        </w:rPr>
        <w:t>2.11通知</w:t>
      </w:r>
      <w:bookmarkEnd w:id="68"/>
    </w:p>
    <w:p w14:paraId="2496CCD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⑴根据本合同条款由发包人或监理人发给承包人的一切证书、通知或指令均应发送或派专人送达承包人在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中指定的地址。</w:t>
      </w:r>
    </w:p>
    <w:p w14:paraId="3D58D24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⑵根据本合同条款由承包人发给发包人或监理人的一切通知均应发送或派专人送达发包人或监理人在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中指定的地址。</w:t>
      </w:r>
    </w:p>
    <w:p w14:paraId="35F0F35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⑶若一方的通信地址发生改变，应提前3天书面通知另一方，</w:t>
      </w:r>
    </w:p>
    <w:p w14:paraId="644F915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⑷如一方拒绝签收另一方通知，另一方以特快专递方式将通知送至2.11⑴、⑵款指定的地址，视为送达。</w:t>
      </w:r>
    </w:p>
    <w:p w14:paraId="23F26F9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69" w:name="_Toc30082"/>
      <w:r>
        <w:rPr>
          <w:rFonts w:hint="eastAsia" w:ascii="仿宋_GB2312" w:hAnsi="仿宋_GB2312" w:eastAsia="仿宋_GB2312" w:cs="仿宋_GB2312"/>
          <w:b/>
          <w:sz w:val="28"/>
          <w:szCs w:val="28"/>
          <w:highlight w:val="none"/>
        </w:rPr>
        <w:t>2.12严禁贿赂</w:t>
      </w:r>
      <w:bookmarkEnd w:id="69"/>
    </w:p>
    <w:p w14:paraId="187DB0A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⑴承发包双方不得以贿赂或变相贿赂的方式，谋取非法利益或损害对方权益。因一方的贿赂造成对方损失的，应赔偿损失，并承担相应的法律责任。</w:t>
      </w:r>
    </w:p>
    <w:p w14:paraId="6A6B8B8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⑵承包人不得与监理人或发包人聘请的第三方串通损害发包人利益。未经发包人书面同意，承包人不得为监理人提供合同约定以外的通讯设备、交通工具及其他任何形式的利益，不得向监理人支付报酬。</w:t>
      </w:r>
    </w:p>
    <w:p w14:paraId="04FB757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70" w:name="_Toc13749"/>
      <w:r>
        <w:rPr>
          <w:rFonts w:hint="eastAsia" w:ascii="仿宋_GB2312" w:hAnsi="仿宋_GB2312" w:eastAsia="仿宋_GB2312" w:cs="仿宋_GB2312"/>
          <w:b/>
          <w:sz w:val="28"/>
          <w:szCs w:val="28"/>
          <w:highlight w:val="none"/>
        </w:rPr>
        <w:t>2.13交通运输</w:t>
      </w:r>
      <w:bookmarkEnd w:id="70"/>
    </w:p>
    <w:p w14:paraId="4BB06C6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⑴出入现场的权利</w:t>
      </w:r>
    </w:p>
    <w:p w14:paraId="1E785E5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8A656D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15832D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⑵场外交通</w:t>
      </w:r>
    </w:p>
    <w:p w14:paraId="58700694">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DE11F9A">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余泥渣土运输车辆要求详见第18条［余泥渣土运输］。</w:t>
      </w:r>
    </w:p>
    <w:p w14:paraId="1B53FA4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⑶场内交通</w:t>
      </w:r>
    </w:p>
    <w:p w14:paraId="20B373B0">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发包人应提供场内交通设施的技术参数和具体条件，并应按照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的约定向承包人免费提供满足工程施工所需的场内道路和交通设施。因承包人原因造成上述道路或交通设施损坏的，承包人负责修复并承担由此增加的费用。</w:t>
      </w:r>
    </w:p>
    <w:p w14:paraId="649A9E5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另有约定外，为保证正常的公共交通秩序而修建的社会便道或便桥及交通疏解费用由发包人承担。</w:t>
      </w:r>
    </w:p>
    <w:p w14:paraId="36D7235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除发包人按照合同约定提供的场内道路和交通设施外，承包人负责修建、维修、养护和管理施工所需的其他场内临时道路和交通设施。</w:t>
      </w:r>
    </w:p>
    <w:p w14:paraId="3591240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⑷超大件和超重件的运输</w:t>
      </w:r>
    </w:p>
    <w:p w14:paraId="0DFC6D7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由承包人负责运输的超大件或超重件，应由承包人负责向交通管理部门办理申请手续，发包人给予协助。运输超大件或超重件所需的道路和桥梁临时加固改造费用和其他有关费用，由承包人承担，但</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另有约定除外。</w:t>
      </w:r>
    </w:p>
    <w:p w14:paraId="40EFE30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⑸道路和桥梁的损坏责任</w:t>
      </w:r>
    </w:p>
    <w:p w14:paraId="775D267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因承包人运输造成施工场地内外公共道路和桥梁损坏的，由承包人承担修复损坏的全部费用和可能引起的赔偿。</w:t>
      </w:r>
    </w:p>
    <w:p w14:paraId="3AEC008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⑹水路和航空运输</w:t>
      </w:r>
    </w:p>
    <w:p w14:paraId="37E308A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本款前述各项的内容适用于水路运输和航空运输，其中“道路”一词的涵义包括河道、航线、船闸、机场、码头、堤防以及水路或航空运输中其他相似结构物；“车辆”一词的涵义包括船舶和飞机等。</w:t>
      </w:r>
    </w:p>
    <w:p w14:paraId="5981489F">
      <w:pPr>
        <w:keepNext w:val="0"/>
        <w:keepLines w:val="0"/>
        <w:pageBreakBefore w:val="0"/>
        <w:widowControl w:val="0"/>
        <w:numPr>
          <w:ilvl w:val="-1"/>
          <w:numId w:val="0"/>
        </w:numPr>
        <w:tabs>
          <w:tab w:val="left" w:pos="540"/>
          <w:tab w:val="left" w:pos="900"/>
        </w:tabs>
        <w:kinsoku/>
        <w:wordWrap/>
        <w:overflowPunct/>
        <w:topLinePunct w:val="0"/>
        <w:autoSpaceDE/>
        <w:autoSpaceDN/>
        <w:bidi w:val="0"/>
        <w:adjustRightInd w:val="0"/>
        <w:snapToGrid w:val="0"/>
        <w:spacing w:line="560" w:lineRule="exact"/>
        <w:ind w:left="0" w:leftChars="0" w:right="0" w:rightChars="0" w:firstLine="0"/>
        <w:jc w:val="left"/>
        <w:textAlignment w:val="auto"/>
        <w:outlineLvl w:val="2"/>
        <w:rPr>
          <w:rFonts w:hint="eastAsia" w:ascii="仿宋" w:hAnsi="仿宋" w:eastAsia="仿宋" w:cs="仿宋"/>
          <w:sz w:val="28"/>
          <w:szCs w:val="28"/>
          <w:highlight w:val="none"/>
        </w:rPr>
      </w:pPr>
      <w:bookmarkStart w:id="71" w:name="_Toc8250"/>
      <w:r>
        <w:rPr>
          <w:rFonts w:hint="eastAsia" w:ascii="仿宋" w:hAnsi="仿宋" w:eastAsia="仿宋" w:cs="仿宋"/>
          <w:b/>
          <w:sz w:val="28"/>
          <w:szCs w:val="28"/>
          <w:highlight w:val="none"/>
        </w:rPr>
        <w:t>2.14</w:t>
      </w:r>
      <w:r>
        <w:rPr>
          <w:rFonts w:hint="eastAsia" w:ascii="仿宋" w:hAnsi="仿宋" w:eastAsia="仿宋" w:cs="仿宋"/>
          <w:sz w:val="28"/>
          <w:szCs w:val="28"/>
          <w:highlight w:val="none"/>
        </w:rPr>
        <w:t>水土保持</w:t>
      </w:r>
      <w:bookmarkEnd w:id="71"/>
    </w:p>
    <w:p w14:paraId="79147B6D">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⑴发包人应及时向承包人提供本工程已通过市区水务行政主管部门审批（备案）的水土保持方案（报告书或报告表）及准予行政许可决定书。</w:t>
      </w:r>
    </w:p>
    <w:p w14:paraId="64A12265">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⑵承包人在施工期间，应严格执行《中华人民共和国水土保持法》、《广东省水土保持条例》、《深圳经济特区水土保持条例》等有关法律法规的规定，做好施工区和生活区的水土保持工作，减少对项目周边水土资源和生态环境的影响和破坏。</w:t>
      </w:r>
    </w:p>
    <w:p w14:paraId="6E35C863">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⑶承包人应按合同约定和监理人指令，接受国家和省、市、县、流域等地方水务行政主管部门的监督和检查。承包人应对其违反水土保持相关法律法规规定以及合同约定所造成的水土流失灾害、人身伤害和财产损失负责。</w:t>
      </w:r>
    </w:p>
    <w:p w14:paraId="15EF340D">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⑷承包人的施工组织设计应满足《生产建设项目水土保持技术标准》、《生产建设项目水土流失防治标准》、《深圳市生产建设项目水土保持技术规范》等技术标准和要求。</w:t>
      </w:r>
    </w:p>
    <w:p w14:paraId="43DB1A9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72" w:name="_Toc13693"/>
      <w:r>
        <w:rPr>
          <w:rFonts w:hint="eastAsia" w:ascii="仿宋_GB2312" w:hAnsi="仿宋_GB2312" w:eastAsia="仿宋_GB2312" w:cs="仿宋_GB2312"/>
          <w:b/>
          <w:sz w:val="28"/>
          <w:szCs w:val="28"/>
          <w:highlight w:val="none"/>
        </w:rPr>
        <w:t>2.15</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BIM实施应用</w:t>
      </w:r>
      <w:bookmarkEnd w:id="72"/>
    </w:p>
    <w:p w14:paraId="0DA9113A">
      <w:pPr>
        <w:pageBreakBefore w:val="0"/>
        <w:kinsoku/>
        <w:overflowPunct/>
        <w:topLinePunct w:val="0"/>
        <w:autoSpaceDE/>
        <w:autoSpaceDN/>
        <w:bidi w:val="0"/>
        <w:adjustRightInd w:val="0"/>
        <w:snapToGrid w:val="0"/>
        <w:spacing w:line="560" w:lineRule="exact"/>
        <w:ind w:left="0" w:leftChars="0" w:right="0" w:rightChars="0" w:firstLine="840" w:firstLineChars="3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⑴BIM实施范围</w:t>
      </w:r>
    </w:p>
    <w:p w14:paraId="1CCAA75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本工程需实施BIM技术应用的，BIM实施内容应包含“施工BIM实施准备”、“设计BIM成果接收”、“施工BIM应用内容和要求”、“施工BIM成果归档和移交”、“竣工数字化资产验收和运维移交”、“施工BIM考核评价”及</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b w:val="0"/>
          <w:bCs/>
          <w:sz w:val="28"/>
          <w:szCs w:val="28"/>
          <w:highlight w:val="none"/>
        </w:rPr>
        <w:t>约定的内容。</w:t>
      </w:r>
    </w:p>
    <w:p w14:paraId="20E98E2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BIM实施应继承和延用设计阶段BIM成果，并考虑运维阶段的BIM技术应用需求。</w:t>
      </w:r>
    </w:p>
    <w:p w14:paraId="069CBA0B">
      <w:pPr>
        <w:pageBreakBefore w:val="0"/>
        <w:kinsoku/>
        <w:overflowPunct/>
        <w:topLinePunct w:val="0"/>
        <w:autoSpaceDE/>
        <w:autoSpaceDN/>
        <w:bidi w:val="0"/>
        <w:adjustRightInd w:val="0"/>
        <w:snapToGrid w:val="0"/>
        <w:spacing w:line="560" w:lineRule="exact"/>
        <w:ind w:left="0" w:leftChars="0" w:right="0" w:rightChars="0" w:firstLine="826" w:firstLineChars="295"/>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⑵BIM实施内容和要求</w:t>
      </w:r>
    </w:p>
    <w:p w14:paraId="19B6112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承包人应在BIM实施前编制《施工BIM实施方案》，经发包人确认后，作为承包人BIM实施以及发包人BIM审查验收的依据。</w:t>
      </w:r>
    </w:p>
    <w:p w14:paraId="7A9605D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本工程BIM模型的创建和管理应分为深化设计、施工过程和竣工验收3个阶段，承包人应用BIM技术进行深化设计、施工过程可视化模拟、施工方案优化、施工进度和成本的管控等。各阶段的BIM技术和管理应用应满足</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b w:val="0"/>
          <w:bCs/>
          <w:sz w:val="28"/>
          <w:szCs w:val="28"/>
          <w:highlight w:val="none"/>
        </w:rPr>
        <w:t>中约定的要求。</w:t>
      </w:r>
    </w:p>
    <w:p w14:paraId="07272E96">
      <w:pPr>
        <w:pageBreakBefore w:val="0"/>
        <w:kinsoku/>
        <w:overflowPunct/>
        <w:topLinePunct w:val="0"/>
        <w:autoSpaceDE/>
        <w:autoSpaceDN/>
        <w:bidi w:val="0"/>
        <w:adjustRightInd w:val="0"/>
        <w:snapToGrid w:val="0"/>
        <w:spacing w:line="560" w:lineRule="exact"/>
        <w:ind w:left="11" w:leftChars="0" w:right="0" w:rightChars="0" w:hanging="11" w:hangingChars="4"/>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承包人创建的BIM模型应保证信息要素全面完备，模型精细度应符合</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b w:val="0"/>
          <w:bCs/>
          <w:sz w:val="28"/>
          <w:szCs w:val="28"/>
          <w:highlight w:val="none"/>
        </w:rPr>
        <w:t>中的标准要求。</w:t>
      </w:r>
    </w:p>
    <w:p w14:paraId="016FCFC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发包人应在办理规划许可、施工许可、竣工验收审批报建环节提交BIM模型。</w:t>
      </w:r>
    </w:p>
    <w:p w14:paraId="6125495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⑶BIM成果的归档和移交</w:t>
      </w:r>
    </w:p>
    <w:p w14:paraId="11866F3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发包人应在工程竣工后，组织对本工程BIM实施成果进行归档和移交。</w:t>
      </w:r>
    </w:p>
    <w:p w14:paraId="5AE35F3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本工程BIM成果包括BIM模型和与之对应的图纸、文档、统计表格，以及综合协调、模拟分析、统计计算等形成的数字化成果文件。BIM模型必须与竣工图纸一致。</w:t>
      </w:r>
    </w:p>
    <w:p w14:paraId="1B9ACD3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承包人应按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b w:val="0"/>
          <w:bCs/>
          <w:sz w:val="28"/>
          <w:szCs w:val="28"/>
          <w:highlight w:val="none"/>
        </w:rPr>
        <w:t>约定的交付标准移交BIM成果。发包人审核后，按照政府有关部门的要求进行归档，并在工程交付使用时，应将BIM模型提交给运维单位。</w:t>
      </w:r>
    </w:p>
    <w:p w14:paraId="00069D3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⑷BIM信息安全责任</w:t>
      </w:r>
    </w:p>
    <w:p w14:paraId="52CAF91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发承包双方应按照《深圳经济特区数据条例》的有关规定，加强对BIM数据的安全管理，建立健全数据管理制度，及时排查BIM数据在存储、使用、加工、传递、交付过程中可能出现的信息安全隐患，做好安全防护和处理。</w:t>
      </w:r>
    </w:p>
    <w:p w14:paraId="76D88087">
      <w:pPr>
        <w:keepNext w:val="0"/>
        <w:keepLines w:val="0"/>
        <w:pageBreakBefore w:val="0"/>
        <w:widowControl w:val="0"/>
        <w:numPr>
          <w:ilvl w:val="-1"/>
          <w:numId w:val="0"/>
        </w:numPr>
        <w:tabs>
          <w:tab w:val="left" w:pos="540"/>
          <w:tab w:val="left" w:pos="900"/>
        </w:tabs>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2"/>
        <w:rPr>
          <w:rFonts w:hint="eastAsia" w:ascii="仿宋_GB2312" w:hAnsi="仿宋_GB2312" w:eastAsia="仿宋_GB2312" w:cs="仿宋_GB2312"/>
          <w:bCs w:val="0"/>
          <w:kern w:val="2"/>
          <w:sz w:val="28"/>
          <w:szCs w:val="28"/>
          <w:highlight w:val="none"/>
        </w:rPr>
      </w:pPr>
      <w:bookmarkStart w:id="73" w:name="_Toc13489"/>
      <w:r>
        <w:rPr>
          <w:rFonts w:hint="eastAsia" w:ascii="仿宋_GB2312" w:hAnsi="仿宋_GB2312" w:eastAsia="仿宋_GB2312" w:cs="仿宋_GB2312"/>
          <w:bCs w:val="0"/>
          <w:kern w:val="2"/>
          <w:sz w:val="28"/>
          <w:szCs w:val="28"/>
          <w:highlight w:val="none"/>
          <w:lang w:val="en-US" w:eastAsia="zh-CN"/>
        </w:rPr>
        <w:t xml:space="preserve">2.16 </w:t>
      </w:r>
      <w:r>
        <w:rPr>
          <w:rFonts w:hint="eastAsia" w:ascii="仿宋_GB2312" w:hAnsi="仿宋_GB2312" w:eastAsia="仿宋_GB2312" w:cs="仿宋_GB2312"/>
          <w:bCs w:val="0"/>
          <w:kern w:val="2"/>
          <w:sz w:val="28"/>
          <w:szCs w:val="28"/>
          <w:highlight w:val="none"/>
        </w:rPr>
        <w:t>知识产权</w:t>
      </w:r>
      <w:bookmarkEnd w:id="73"/>
    </w:p>
    <w:p w14:paraId="0687459D">
      <w:pPr>
        <w:keepNext w:val="0"/>
        <w:keepLines w:val="0"/>
        <w:pageBreakBefore w:val="0"/>
        <w:widowControl w:val="0"/>
        <w:tabs>
          <w:tab w:val="left" w:pos="1620"/>
          <w:tab w:val="left" w:pos="2340"/>
        </w:tabs>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⑴除</w:t>
      </w:r>
      <w:r>
        <w:rPr>
          <w:rFonts w:hint="eastAsia" w:ascii="仿宋" w:hAnsi="仿宋" w:eastAsia="仿宋" w:cs="仿宋"/>
          <w:b/>
          <w:i/>
          <w:kern w:val="0"/>
          <w:sz w:val="28"/>
          <w:szCs w:val="28"/>
          <w:highlight w:val="none"/>
        </w:rPr>
        <w:t>专用条款</w:t>
      </w:r>
      <w:r>
        <w:rPr>
          <w:rFonts w:hint="eastAsia" w:ascii="仿宋" w:hAnsi="仿宋" w:eastAsia="仿宋" w:cs="仿宋"/>
          <w:kern w:val="0"/>
          <w:sz w:val="28"/>
          <w:szCs w:val="28"/>
          <w:highlight w:val="none"/>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8BEA160">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⑵除</w:t>
      </w:r>
      <w:r>
        <w:rPr>
          <w:rFonts w:hint="eastAsia" w:ascii="仿宋" w:hAnsi="仿宋" w:eastAsia="仿宋" w:cs="仿宋"/>
          <w:b/>
          <w:i/>
          <w:kern w:val="0"/>
          <w:sz w:val="28"/>
          <w:szCs w:val="28"/>
          <w:highlight w:val="none"/>
        </w:rPr>
        <w:t>专用条款</w:t>
      </w:r>
      <w:r>
        <w:rPr>
          <w:rFonts w:hint="eastAsia" w:ascii="仿宋" w:hAnsi="仿宋" w:eastAsia="仿宋" w:cs="仿宋"/>
          <w:kern w:val="0"/>
          <w:sz w:val="28"/>
          <w:szCs w:val="28"/>
          <w:highlight w:val="none"/>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2E9AF07">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4BB5E94">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⑷除</w:t>
      </w:r>
      <w:r>
        <w:rPr>
          <w:rFonts w:hint="eastAsia" w:ascii="仿宋" w:hAnsi="仿宋" w:eastAsia="仿宋" w:cs="仿宋"/>
          <w:b/>
          <w:i/>
          <w:kern w:val="0"/>
          <w:sz w:val="28"/>
          <w:szCs w:val="28"/>
          <w:highlight w:val="none"/>
        </w:rPr>
        <w:t>专用条款</w:t>
      </w:r>
      <w:r>
        <w:rPr>
          <w:rFonts w:hint="eastAsia" w:ascii="仿宋" w:hAnsi="仿宋" w:eastAsia="仿宋" w:cs="仿宋"/>
          <w:kern w:val="0"/>
          <w:sz w:val="28"/>
          <w:szCs w:val="28"/>
          <w:highlight w:val="none"/>
        </w:rPr>
        <w:t>另有约定外，承包人在合同签订前和签订时已确定采用的专利、专有技术、技术秘密的使用费已包含在签约合同价中。</w:t>
      </w:r>
    </w:p>
    <w:p w14:paraId="5E9E820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74" w:name="_Toc459"/>
      <w:r>
        <w:rPr>
          <w:rFonts w:hint="eastAsia" w:ascii="仿宋_GB2312" w:hAnsi="仿宋_GB2312" w:eastAsia="仿宋_GB2312" w:cs="仿宋_GB2312"/>
          <w:b/>
          <w:sz w:val="28"/>
          <w:szCs w:val="28"/>
          <w:highlight w:val="none"/>
        </w:rPr>
        <w:t>2.1</w:t>
      </w:r>
      <w:r>
        <w:rPr>
          <w:rFonts w:hint="eastAsia" w:ascii="仿宋_GB2312" w:hAnsi="仿宋_GB2312" w:eastAsia="仿宋_GB2312" w:cs="仿宋_GB2312"/>
          <w:b/>
          <w:sz w:val="28"/>
          <w:szCs w:val="28"/>
          <w:highlight w:val="none"/>
          <w:lang w:val="en-US" w:eastAsia="zh-CN"/>
        </w:rPr>
        <w:t>7</w:t>
      </w:r>
      <w:r>
        <w:rPr>
          <w:rFonts w:hint="eastAsia" w:ascii="仿宋_GB2312" w:hAnsi="仿宋_GB2312" w:eastAsia="仿宋_GB2312" w:cs="仿宋_GB2312"/>
          <w:b/>
          <w:sz w:val="28"/>
          <w:szCs w:val="28"/>
          <w:highlight w:val="none"/>
        </w:rPr>
        <w:t>保密</w:t>
      </w:r>
      <w:bookmarkEnd w:id="74"/>
    </w:p>
    <w:p w14:paraId="1375C7D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除法律规定或合同另有约定外，未经发包人同意，承包人不得将发包人提供的图纸、文件以及声明需要保密的资料信息等商业秘密泄露给第三方。</w:t>
      </w:r>
    </w:p>
    <w:p w14:paraId="309B423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除法律规定或合同另有约定外，未经承包人同意，发包人不得将承包人提供的技术秘密及声明需要保密的资料信息等商业秘密泄露给第三方。</w:t>
      </w:r>
    </w:p>
    <w:p w14:paraId="61BDE4F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75" w:name="_Toc25421"/>
      <w:r>
        <w:rPr>
          <w:rFonts w:hint="eastAsia" w:ascii="仿宋_GB2312" w:hAnsi="仿宋_GB2312" w:eastAsia="仿宋_GB2312" w:cs="仿宋_GB2312"/>
          <w:b/>
          <w:sz w:val="28"/>
          <w:szCs w:val="28"/>
          <w:highlight w:val="none"/>
        </w:rPr>
        <w:t>2.1</w:t>
      </w:r>
      <w:r>
        <w:rPr>
          <w:rFonts w:hint="eastAsia" w:ascii="仿宋_GB2312" w:hAnsi="仿宋_GB2312" w:eastAsia="仿宋_GB2312" w:cs="仿宋_GB2312"/>
          <w:b/>
          <w:sz w:val="28"/>
          <w:szCs w:val="28"/>
          <w:highlight w:val="none"/>
          <w:lang w:val="en-US" w:eastAsia="zh-CN"/>
        </w:rPr>
        <w:t>8</w:t>
      </w:r>
      <w:r>
        <w:rPr>
          <w:rFonts w:hint="eastAsia" w:ascii="仿宋_GB2312" w:hAnsi="仿宋_GB2312" w:eastAsia="仿宋_GB2312" w:cs="仿宋_GB2312"/>
          <w:b/>
          <w:sz w:val="28"/>
          <w:szCs w:val="28"/>
          <w:highlight w:val="none"/>
        </w:rPr>
        <w:t>化石、文物的保护</w:t>
      </w:r>
      <w:bookmarkEnd w:id="75"/>
    </w:p>
    <w:p w14:paraId="2B64982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现场发现的所有化石、文物，以及有地质或考古意义的结构物和其他遗迹或物品时，承包人应立即保护好现场并于4小时内通知监理人，监理人应于收到通知后24小时内报告当地文物管理部门及通知发包人，发包人和承包人应按文物管理部门的要求采取妥善保护措施。发包人承担由此发生的费用，顺延延误的工期。如发现后隐瞒不报或报告不及时，致使上述化石、文物遭受破坏，责任人依法承担相应责任。</w:t>
      </w:r>
    </w:p>
    <w:p w14:paraId="68826423">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76" w:name="_Toc10633"/>
      <w:r>
        <w:rPr>
          <w:rFonts w:hint="eastAsia" w:ascii="仿宋_GB2312" w:hAnsi="仿宋_GB2312" w:eastAsia="仿宋_GB2312" w:cs="仿宋_GB2312"/>
          <w:b/>
          <w:bCs/>
          <w:sz w:val="28"/>
          <w:szCs w:val="28"/>
          <w:highlight w:val="none"/>
        </w:rPr>
        <w:t>3.发包人</w:t>
      </w:r>
      <w:bookmarkEnd w:id="76"/>
    </w:p>
    <w:p w14:paraId="056966C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77" w:name="_Toc1792"/>
      <w:r>
        <w:rPr>
          <w:rFonts w:hint="eastAsia" w:ascii="仿宋_GB2312" w:hAnsi="仿宋_GB2312" w:eastAsia="仿宋_GB2312" w:cs="仿宋_GB2312"/>
          <w:b/>
          <w:sz w:val="28"/>
          <w:szCs w:val="28"/>
          <w:highlight w:val="none"/>
        </w:rPr>
        <w:t>3.1发包人代表</w:t>
      </w:r>
      <w:bookmarkEnd w:id="77"/>
    </w:p>
    <w:p w14:paraId="14A0B5B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发包人应任命发包人代表，发包人代表的姓名在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中明确。本合同中约定由发包人确认、批准、同意、审批等事项均应以发包人盖章或发包人代表签字为准。发包人如需更换发包人代表，应至少提前7天以书面形式通知监理人和承包人。</w:t>
      </w:r>
    </w:p>
    <w:p w14:paraId="499CECF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发包人代表不能按照合同约定履行其职责及义务，并导致合同无法继续正常履行的，承包人可以要求发包人撤换发包人代表。</w:t>
      </w:r>
    </w:p>
    <w:p w14:paraId="57D82B5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78" w:name="_Toc19656"/>
      <w:r>
        <w:rPr>
          <w:rFonts w:hint="eastAsia" w:ascii="仿宋_GB2312" w:hAnsi="仿宋_GB2312" w:eastAsia="仿宋_GB2312" w:cs="仿宋_GB2312"/>
          <w:b/>
          <w:sz w:val="28"/>
          <w:szCs w:val="28"/>
          <w:highlight w:val="none"/>
        </w:rPr>
        <w:t>3.2发包人的义务</w:t>
      </w:r>
      <w:bookmarkEnd w:id="78"/>
    </w:p>
    <w:p w14:paraId="7A868DC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p>
    <w:p w14:paraId="0A4596E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79" w:name="_Toc21723"/>
      <w:r>
        <w:rPr>
          <w:rFonts w:hint="eastAsia" w:ascii="仿宋_GB2312" w:hAnsi="仿宋_GB2312" w:eastAsia="仿宋_GB2312" w:cs="仿宋_GB2312"/>
          <w:b/>
          <w:sz w:val="28"/>
          <w:szCs w:val="28"/>
          <w:highlight w:val="none"/>
        </w:rPr>
        <w:t>3.3发包人人员</w:t>
      </w:r>
      <w:bookmarkEnd w:id="79"/>
    </w:p>
    <w:p w14:paraId="51131CD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人员包括发包人代表及其他由发包人派驻施工现场的人员。发包人应要求在施工现场的发包人人员配合承包人的工作并遵守关于工程安全、质量、环境保护与文明施工的规定，并保障承包人免于承受因发包人人员未遵守上述要求给承包人造成的损失和责任。</w:t>
      </w:r>
    </w:p>
    <w:p w14:paraId="1EEB08C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80" w:name="_Toc5263"/>
      <w:r>
        <w:rPr>
          <w:rFonts w:ascii="仿宋_GB2312" w:hAnsi="仿宋_GB2312" w:eastAsia="仿宋_GB2312" w:cs="仿宋_GB2312"/>
          <w:b/>
          <w:sz w:val="28"/>
          <w:szCs w:val="28"/>
          <w:highlight w:val="none"/>
        </w:rPr>
        <w:t>3.4发包人的工作</w:t>
      </w:r>
      <w:bookmarkEnd w:id="80"/>
    </w:p>
    <w:p w14:paraId="0ECDD9A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的约定在本工程开工前完成以下工作，并承担相关费用：</w:t>
      </w:r>
    </w:p>
    <w:p w14:paraId="5C45C7E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①办理土地征用、搬迁补偿、平整施工场地等工作，使施工场地具备施工条件，并在开工后继续负责解决上述工作遗留的问题；</w:t>
      </w:r>
    </w:p>
    <w:p w14:paraId="550BBD3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②根据</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约定的接驳地点，将施工所需水、电、通讯线路从施工场地外部接驳到施工场地内，保证施工期间的需要；</w:t>
      </w:r>
    </w:p>
    <w:p w14:paraId="6A22D73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③开通施工场地与城乡公共道路间的通道，满足施工运输的需要；</w:t>
      </w:r>
    </w:p>
    <w:p w14:paraId="012C0AD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④向承包人提供施工场地的工程地质和地下管线资料，对资料的真实性、准确性负责；</w:t>
      </w:r>
    </w:p>
    <w:p w14:paraId="21879E7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⑤办理规划、施工许可证以及停水、停电、中断道路交通、爆破作业等的批件；</w:t>
      </w:r>
    </w:p>
    <w:p w14:paraId="2BF8E24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⑥确定水准点与坐标控制点，组织现场交验并移交给承包人；</w:t>
      </w:r>
    </w:p>
    <w:p w14:paraId="56A03C5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⑦根据</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约定的时间，组织承包人和设计人进行图纸会审和设计交底；</w:t>
      </w:r>
    </w:p>
    <w:p w14:paraId="52154B6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⑧协调处理施工场地周围地下管线和邻近建筑物、构筑物(包括文物保护建筑)、古树名木等的保护工作；</w:t>
      </w:r>
    </w:p>
    <w:p w14:paraId="66EAC4D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⑨在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内约定发包人应做的其他工作。</w:t>
      </w:r>
    </w:p>
    <w:p w14:paraId="398253B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⑵发包人未完成前款约定的各项工作，且未委托承包人办理，给承包人造成损失和(或)导致工期延误的，发包人应赔偿承包人损失和(或)顺延延误的工期。</w:t>
      </w:r>
    </w:p>
    <w:p w14:paraId="735D73C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81" w:name="_Toc24858"/>
      <w:r>
        <w:rPr>
          <w:rFonts w:hint="eastAsia" w:ascii="仿宋_GB2312" w:hAnsi="仿宋_GB2312" w:eastAsia="仿宋_GB2312" w:cs="仿宋_GB2312"/>
          <w:b/>
          <w:sz w:val="28"/>
          <w:szCs w:val="28"/>
          <w:highlight w:val="none"/>
        </w:rPr>
        <w:t>3.5发包人委托</w:t>
      </w:r>
      <w:bookmarkEnd w:id="81"/>
    </w:p>
    <w:p w14:paraId="27D9CA8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发包人可将3.4款部分工作委托承包人办理，具体委托内容由双方在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中约定，费用由发包人承担。</w:t>
      </w:r>
    </w:p>
    <w:p w14:paraId="700626A4">
      <w:pPr>
        <w:pageBreakBefore w:val="0"/>
        <w:kinsoku/>
        <w:overflowPunct/>
        <w:topLinePunct w:val="0"/>
        <w:autoSpaceDE/>
        <w:autoSpaceDN/>
        <w:bidi w:val="0"/>
        <w:adjustRightInd w:val="0"/>
        <w:snapToGrid w:val="0"/>
        <w:spacing w:line="560" w:lineRule="exact"/>
        <w:ind w:left="0" w:leftChars="0" w:right="0" w:rightChars="0" w:firstLine="198"/>
        <w:jc w:val="left"/>
        <w:textAlignment w:val="auto"/>
        <w:outlineLvl w:val="1"/>
        <w:rPr>
          <w:rFonts w:ascii="仿宋_GB2312" w:hAnsi="仿宋_GB2312" w:eastAsia="仿宋_GB2312" w:cs="仿宋_GB2312"/>
          <w:b/>
          <w:bCs/>
          <w:sz w:val="28"/>
          <w:szCs w:val="28"/>
          <w:highlight w:val="none"/>
        </w:rPr>
      </w:pPr>
      <w:bookmarkStart w:id="82" w:name="_Toc24119"/>
      <w:r>
        <w:rPr>
          <w:rFonts w:hint="eastAsia" w:ascii="仿宋_GB2312" w:hAnsi="仿宋_GB2312" w:eastAsia="仿宋_GB2312" w:cs="仿宋_GB2312"/>
          <w:b/>
          <w:bCs/>
          <w:sz w:val="28"/>
          <w:szCs w:val="28"/>
          <w:highlight w:val="none"/>
        </w:rPr>
        <w:t>4.承包人</w:t>
      </w:r>
      <w:bookmarkEnd w:id="82"/>
    </w:p>
    <w:p w14:paraId="3FCA91C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83" w:name="_Toc28051"/>
      <w:r>
        <w:rPr>
          <w:rFonts w:hint="eastAsia" w:ascii="仿宋_GB2312" w:hAnsi="仿宋_GB2312" w:eastAsia="仿宋_GB2312" w:cs="仿宋_GB2312"/>
          <w:b/>
          <w:sz w:val="28"/>
          <w:szCs w:val="28"/>
          <w:highlight w:val="none"/>
        </w:rPr>
        <w:t>4.1承包人的义务</w:t>
      </w:r>
      <w:bookmarkEnd w:id="83"/>
    </w:p>
    <w:p w14:paraId="19E53BC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p>
    <w:p w14:paraId="7CF2940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区政府投资项目因设计变更需进行设计变更备案的，承包人应对设计变更进行确认、并积极配合发包人进行设计变更备案。</w:t>
      </w:r>
    </w:p>
    <w:p w14:paraId="0F76E08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84" w:name="_Toc24214"/>
      <w:r>
        <w:rPr>
          <w:rFonts w:hint="eastAsia" w:ascii="仿宋_GB2312" w:hAnsi="仿宋_GB2312" w:eastAsia="仿宋_GB2312" w:cs="仿宋_GB2312"/>
          <w:b/>
          <w:sz w:val="28"/>
          <w:szCs w:val="28"/>
          <w:highlight w:val="none"/>
        </w:rPr>
        <w:t>4.2承包人的工作</w:t>
      </w:r>
      <w:bookmarkEnd w:id="84"/>
    </w:p>
    <w:p w14:paraId="5E329C3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约定完成以下工作：</w:t>
      </w:r>
    </w:p>
    <w:p w14:paraId="682BEBD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①办理法律规定应由承包人办理的许可和批准，并将办理结果书面报送发包人留存；</w:t>
      </w:r>
    </w:p>
    <w:p w14:paraId="77D01A5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14:paraId="5E4E409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另有约定外，向发包人提供施工场地办公和生活的房屋及设施，发包人承担由此发生的费用；</w:t>
      </w:r>
    </w:p>
    <w:p w14:paraId="6AEF89C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④按法律规定和合同约定采取施工安全措施，确保工程及其人员、材料、设备和设施的安全，防止因工程施工造成的人身伤害和财产损失；采取环境保护措施，负责施工场地及其周边环境与生态的保护工作；</w:t>
      </w:r>
    </w:p>
    <w:p w14:paraId="70FF201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⑤按合同约定的工作内容和施工进度要求，编制施工组织设计和施工措施计划，并对所有施工作业和施工方法的完备性和安全可靠性负责；</w:t>
      </w:r>
    </w:p>
    <w:p w14:paraId="57CAE76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⑥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30C65B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⑦将发包人按合同约定支付的各项价款专用于合同工程，且应及时支付其雇用人员工资，并及时向分包人支付合同价款；</w:t>
      </w:r>
    </w:p>
    <w:p w14:paraId="7485B89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⑧按照法律规定和合同约定编制竣工资料，完成竣工资料立卷及归档，并按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约定的竣工资料的套数、时间等要求移交发包人；</w:t>
      </w:r>
    </w:p>
    <w:p w14:paraId="5E2F288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⑨在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内约定承包人应做的其他工作。</w:t>
      </w:r>
    </w:p>
    <w:p w14:paraId="03B65F3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⑵承包人未完成3.5款及4.2款约定的各项工作，应视为承包人违约，承包人按28.2款的约定承担违约责任，给发包人造成损失和(或)导致工期延误的，承包人应赔偿发包人的损失和(或)工期不予顺延。</w:t>
      </w:r>
    </w:p>
    <w:p w14:paraId="774FB98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85" w:name="_Toc21687"/>
      <w:r>
        <w:rPr>
          <w:rFonts w:hint="eastAsia" w:ascii="仿宋_GB2312" w:hAnsi="仿宋_GB2312" w:eastAsia="仿宋_GB2312" w:cs="仿宋_GB2312"/>
          <w:b/>
          <w:sz w:val="28"/>
          <w:szCs w:val="28"/>
          <w:highlight w:val="none"/>
        </w:rPr>
        <w:t>4.3项目经理的任命和职责</w:t>
      </w:r>
      <w:bookmarkEnd w:id="85"/>
    </w:p>
    <w:p w14:paraId="7B04F2F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⑴承包人应任命项目经理，授权其代表承包人履行本合同约定的权利和义务，承包人根据合同发出的一切文件(包括致发包人或监理人的通知)，均应以书面形式由项目经理签字后发出。</w:t>
      </w:r>
    </w:p>
    <w:p w14:paraId="7043147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86" w:name="_Hlk4713017"/>
      <w:r>
        <w:rPr>
          <w:rFonts w:hint="eastAsia" w:ascii="仿宋_GB2312" w:hAnsi="仿宋_GB2312" w:eastAsia="仿宋_GB2312" w:cs="仿宋_GB2312"/>
          <w:sz w:val="28"/>
          <w:szCs w:val="28"/>
          <w:highlight w:val="none"/>
        </w:rPr>
        <w:t>⑵承包人任命的项目经理，应取得符合本工程要求的建造师资格，应在承包人单位注册，应与投标文件所载明的人选一致，并经发包人确认后在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中明确项目经理的姓名、职称、注册执业证书编号、联系方式及授权范围等事项</w:t>
      </w:r>
      <w:bookmarkEnd w:id="86"/>
      <w:r>
        <w:rPr>
          <w:rFonts w:hint="eastAsia" w:ascii="仿宋_GB2312" w:hAnsi="仿宋_GB2312" w:eastAsia="仿宋_GB2312" w:cs="仿宋_GB2312"/>
          <w:sz w:val="28"/>
          <w:szCs w:val="28"/>
          <w:highlight w:val="none"/>
        </w:rPr>
        <w:t>。项目经理应是承包人正式聘用的职工，承包人应向发包人提交项目经理与承包人之间的劳动合同，以及承包人为项目经理缴纳社会保险的有效证明。</w:t>
      </w:r>
    </w:p>
    <w:p w14:paraId="5238DE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87" w:name="_Hlk4713036"/>
      <w:r>
        <w:rPr>
          <w:rFonts w:hint="eastAsia" w:ascii="仿宋_GB2312" w:hAnsi="仿宋_GB2312" w:eastAsia="仿宋_GB2312" w:cs="仿宋_GB2312"/>
          <w:sz w:val="28"/>
          <w:szCs w:val="28"/>
          <w:highlight w:val="none"/>
        </w:rPr>
        <w:t>⑶</w:t>
      </w:r>
      <w:bookmarkEnd w:id="87"/>
      <w:bookmarkStart w:id="88" w:name="_Hlk4713029"/>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另有约定外，项目经理应及时到位并常驻施工现场，且每月在施工现场时间不得少于28天。项目经理不得同时担任其他项目的项目经理。</w:t>
      </w:r>
      <w:bookmarkEnd w:id="88"/>
    </w:p>
    <w:p w14:paraId="7E94AE1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⑷若承包人派驻现场的项目经理与投标文件的承诺不一致，或项目经理未及时到位或未常驻现场，或同时兼任承包人其它工程项目的项目经理，发包人可按照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中的约定对承包人进行相应处罚。</w:t>
      </w:r>
    </w:p>
    <w:p w14:paraId="2607DFA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87E864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89" w:name="_Toc25475"/>
      <w:r>
        <w:rPr>
          <w:rFonts w:hint="eastAsia" w:ascii="仿宋_GB2312" w:hAnsi="仿宋_GB2312" w:eastAsia="仿宋_GB2312" w:cs="仿宋_GB2312"/>
          <w:b/>
          <w:sz w:val="28"/>
          <w:szCs w:val="28"/>
          <w:highlight w:val="none"/>
        </w:rPr>
        <w:t>4.4项目经理的更换</w:t>
      </w:r>
      <w:bookmarkEnd w:id="89"/>
    </w:p>
    <w:p w14:paraId="3876395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⑴承包人的项目经理除以下情形之一外，不得更换：</w:t>
      </w:r>
    </w:p>
    <w:p w14:paraId="6EB642B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①因重病或重伤(持有县、区以上医院证明)两个月以上不能履行职责的；</w:t>
      </w:r>
    </w:p>
    <w:p w14:paraId="7AA2D45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②主动辞职或调离原工作单位的；</w:t>
      </w:r>
    </w:p>
    <w:p w14:paraId="64AF27B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③因管理原因发生重大工程质量、安全事故，承包人认为该项目经理不称职需要更换的；</w:t>
      </w:r>
    </w:p>
    <w:p w14:paraId="42DBD6E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④无能力履行合同的责任和义务，造成严重后果，发包人要求更换的；</w:t>
      </w:r>
    </w:p>
    <w:p w14:paraId="7951B64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⑤因违法被责令停止执业的；</w:t>
      </w:r>
    </w:p>
    <w:p w14:paraId="58E0259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⑥因涉嫌犯罪被羁押或判刑的；</w:t>
      </w:r>
    </w:p>
    <w:p w14:paraId="1CA8B21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⑦死亡。</w:t>
      </w:r>
    </w:p>
    <w:p w14:paraId="7C8EA26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如确需更换项目经理，应至少提前7天以书面形式通知监理人，并报发包人同意，并按市建设行政主管部门的规定办理变更手续，否则更换无效。发包人应在收到通知后7天内予以答复，否则视为同意。续任项目经理应继续行使合同约定的项目经理的职权和履行相应的义务。承包人未经监理人及发包人同意更换项目经理的，发包人可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中的约定对承包人进行相应处罚。</w:t>
      </w:r>
    </w:p>
    <w:p w14:paraId="1FAC12D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26ED317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0" w:name="_Toc15750"/>
      <w:r>
        <w:rPr>
          <w:rFonts w:hint="eastAsia" w:ascii="仿宋_GB2312" w:hAnsi="仿宋_GB2312" w:eastAsia="仿宋_GB2312" w:cs="仿宋_GB2312"/>
          <w:b/>
          <w:sz w:val="28"/>
          <w:szCs w:val="28"/>
          <w:highlight w:val="none"/>
        </w:rPr>
        <w:t>4.5项目经理的临时授权</w:t>
      </w:r>
      <w:bookmarkEnd w:id="90"/>
    </w:p>
    <w:p w14:paraId="2456117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项目经理因特殊情况授权其下属人员履行其某项工作职责的，该下属人员应具备履行相应职责的能力，并应提前7天将上述人员的姓名和授权范围书面通知监理人，并征得发包人书面同意。未经发包人批准，任何此类任命和撤回均为无效。</w:t>
      </w:r>
    </w:p>
    <w:p w14:paraId="02A824C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⑵项目经理临时任命人在项目经理暂离现场期间行使项目经理授予的职权，对承包人负责。临时任命人在项目经理授予职权范围和期限内的工作，项目经理应予认可。</w:t>
      </w:r>
    </w:p>
    <w:p w14:paraId="7F00AF3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1" w:name="_Toc20089"/>
      <w:r>
        <w:rPr>
          <w:rFonts w:hint="eastAsia" w:ascii="仿宋_GB2312" w:hAnsi="仿宋_GB2312" w:eastAsia="仿宋_GB2312" w:cs="仿宋_GB2312"/>
          <w:b/>
          <w:sz w:val="28"/>
          <w:szCs w:val="28"/>
          <w:highlight w:val="none"/>
        </w:rPr>
        <w:t>4.6施工管理人员</w:t>
      </w:r>
      <w:bookmarkEnd w:id="91"/>
    </w:p>
    <w:p w14:paraId="57D2793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按照投标文件的承诺，为本工程配备专业工程师、施工员、预算员、质检员、安全员、材料员和资料员等施工管理人员。承包人应在合同签订后7天内提交施工管理人员的名单和详细情况供监理人和发包人审核，承包人管理机构的设置应与投标文件一致。</w:t>
      </w:r>
    </w:p>
    <w:p w14:paraId="6E89231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⑵承包人的主要施工管理人员(项目经理、专业工程师、技术负责人、质量负责人、安全负责人、安全员、劳资专管员及</w:t>
      </w:r>
      <w:r>
        <w:rPr>
          <w:rFonts w:hint="eastAsia" w:ascii="仿宋" w:hAnsi="仿宋" w:eastAsia="仿宋" w:cs="仿宋"/>
          <w:b/>
          <w:i/>
          <w:kern w:val="0"/>
          <w:sz w:val="28"/>
          <w:szCs w:val="28"/>
          <w:highlight w:val="none"/>
        </w:rPr>
        <w:t>专用条款</w:t>
      </w:r>
      <w:r>
        <w:rPr>
          <w:rFonts w:hint="eastAsia" w:ascii="仿宋_GB2312" w:hAnsi="仿宋_GB2312" w:eastAsia="仿宋_GB2312" w:cs="仿宋_GB2312"/>
          <w:sz w:val="28"/>
          <w:szCs w:val="28"/>
          <w:highlight w:val="none"/>
        </w:rPr>
        <w:t>约定的其他人员)应与投标文件所载明的人选一致且相对稳定。承包人如确需更换主要施工管理人员，应至少提前7天以书面形式通知监理人，并报发包人同意，通知中应当载明继任人员的注册执业资格、管理经验并提供相关资料。</w:t>
      </w:r>
    </w:p>
    <w:p w14:paraId="30AFAA3F">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⑶</w:t>
      </w:r>
      <w:r>
        <w:rPr>
          <w:rFonts w:hint="eastAsia" w:ascii="仿宋_GB2312" w:hAnsi="仿宋_GB2312" w:eastAsia="仿宋_GB2312" w:cs="仿宋_GB2312"/>
          <w:sz w:val="28"/>
          <w:szCs w:val="28"/>
          <w:highlight w:val="none"/>
        </w:rPr>
        <w:t>承包人的主要施工管理人员</w:t>
      </w:r>
      <w:r>
        <w:rPr>
          <w:rFonts w:hint="eastAsia" w:ascii="仿宋" w:hAnsi="仿宋" w:eastAsia="仿宋" w:cs="仿宋"/>
          <w:kern w:val="0"/>
          <w:sz w:val="28"/>
          <w:szCs w:val="28"/>
          <w:highlight w:val="none"/>
        </w:rPr>
        <w:t>应保证常驻现场。除</w:t>
      </w:r>
      <w:r>
        <w:rPr>
          <w:rFonts w:hint="eastAsia" w:ascii="仿宋" w:hAnsi="仿宋" w:eastAsia="仿宋" w:cs="仿宋"/>
          <w:b/>
          <w:i/>
          <w:kern w:val="0"/>
          <w:sz w:val="28"/>
          <w:szCs w:val="28"/>
          <w:highlight w:val="none"/>
        </w:rPr>
        <w:t>专用条款</w:t>
      </w:r>
      <w:r>
        <w:rPr>
          <w:rFonts w:hint="eastAsia" w:ascii="仿宋" w:hAnsi="仿宋" w:eastAsia="仿宋" w:cs="仿宋"/>
          <w:kern w:val="0"/>
          <w:sz w:val="28"/>
          <w:szCs w:val="28"/>
          <w:highlight w:val="none"/>
        </w:rPr>
        <w:t>另有约定外，承包人的主要施工管理人员离开施工现场每月累计不超过5天的，应报监理人同意；离开施工现场每月累计超过5天的，应以书面形式通知监理人，并报发包人同意。主要施工管理人员离开施工现场前应指定一名有经验的人员临时代行其职责，该人员应具备履行相应职责的资格和能力，且应征得监理人或发包人的同意。</w:t>
      </w:r>
    </w:p>
    <w:p w14:paraId="506AF43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⑷承包人的劳资专管员应掌握施工现场用工、考勤、工资发放等情况，对分包人劳动用工实施监督管理，审核分包人编制的工人工资支付表。</w:t>
      </w:r>
    </w:p>
    <w:p w14:paraId="076BC22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承包人的管理人员在施工期间出现以下情况，应承担</w:t>
      </w:r>
      <w:r>
        <w:rPr>
          <w:rFonts w:hint="eastAsia" w:ascii="仿宋" w:hAnsi="仿宋" w:eastAsia="仿宋" w:cs="仿宋"/>
          <w:b/>
          <w:i/>
          <w:kern w:val="0"/>
          <w:sz w:val="28"/>
          <w:szCs w:val="28"/>
          <w:highlight w:val="none"/>
        </w:rPr>
        <w:t>专用条款</w:t>
      </w:r>
      <w:r>
        <w:rPr>
          <w:rFonts w:hint="eastAsia" w:ascii="仿宋_GB2312" w:hAnsi="仿宋_GB2312" w:eastAsia="仿宋_GB2312" w:cs="仿宋_GB2312"/>
          <w:sz w:val="28"/>
          <w:szCs w:val="28"/>
          <w:highlight w:val="none"/>
        </w:rPr>
        <w:t>的约定的违约责任：</w:t>
      </w:r>
    </w:p>
    <w:p w14:paraId="68D60E5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①承包人的项目管理机构设置与投标文件的承诺不一致；</w:t>
      </w:r>
    </w:p>
    <w:p w14:paraId="60F649E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②承包人的主要施工管理人员不到位；</w:t>
      </w:r>
    </w:p>
    <w:p w14:paraId="587DC3C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③未经发包人同意，承包人擅自更换主要施工管理人员；</w:t>
      </w:r>
    </w:p>
    <w:p w14:paraId="7191E2F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④承包人的主要施工管理人员同时兼任承包人其它工程项目的任何职务。</w:t>
      </w:r>
    </w:p>
    <w:p w14:paraId="50ECAB0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54AF781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2" w:name="_Toc26654"/>
      <w:r>
        <w:rPr>
          <w:rFonts w:hint="eastAsia" w:ascii="仿宋_GB2312" w:hAnsi="仿宋_GB2312" w:eastAsia="仿宋_GB2312" w:cs="仿宋_GB2312"/>
          <w:b/>
          <w:sz w:val="28"/>
          <w:szCs w:val="28"/>
          <w:highlight w:val="none"/>
        </w:rPr>
        <w:t>4.7联合体承包人</w:t>
      </w:r>
      <w:bookmarkEnd w:id="92"/>
    </w:p>
    <w:p w14:paraId="0F6D326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如果承包人是由两个或两个以上的当事人依法组成的联营体、联合体或其他形式的组合：</w:t>
      </w:r>
    </w:p>
    <w:p w14:paraId="3BC2634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①各成员在履行合同上对发包人负有共同的和各自的责任；</w:t>
      </w:r>
    </w:p>
    <w:p w14:paraId="2B9BC8E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②各成员应将有权约束承包人及其各自的负责人通知发包人；</w:t>
      </w:r>
    </w:p>
    <w:p w14:paraId="4DD0955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③未经发包人事先同意，承包人不得改变其组成或法律地位；</w:t>
      </w:r>
    </w:p>
    <w:p w14:paraId="4B7B950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④各成员的责任、权利、义务、合同价款的分配比例及方式在联合体协议中明确。</w:t>
      </w:r>
    </w:p>
    <w:p w14:paraId="72C8611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联合体付款的特别约定在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中予以明确。</w:t>
      </w:r>
    </w:p>
    <w:p w14:paraId="6FB46C32">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93" w:name="_Toc31079"/>
      <w:r>
        <w:rPr>
          <w:rFonts w:hint="eastAsia" w:ascii="仿宋_GB2312" w:hAnsi="仿宋_GB2312" w:eastAsia="仿宋_GB2312" w:cs="仿宋_GB2312"/>
          <w:b/>
          <w:bCs/>
          <w:sz w:val="28"/>
          <w:szCs w:val="28"/>
          <w:highlight w:val="none"/>
        </w:rPr>
        <w:t>5.监理人</w:t>
      </w:r>
      <w:bookmarkEnd w:id="93"/>
    </w:p>
    <w:p w14:paraId="1D0CEFB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4" w:name="_Toc8144"/>
      <w:r>
        <w:rPr>
          <w:rFonts w:hint="eastAsia" w:ascii="仿宋_GB2312" w:hAnsi="仿宋_GB2312" w:eastAsia="仿宋_GB2312" w:cs="仿宋_GB2312"/>
          <w:b/>
          <w:sz w:val="28"/>
          <w:szCs w:val="28"/>
          <w:highlight w:val="none"/>
        </w:rPr>
        <w:t>5.1监理人的通知</w:t>
      </w:r>
      <w:bookmarkEnd w:id="94"/>
    </w:p>
    <w:p w14:paraId="1E61847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发包人应在本合同</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中列明监理人。实施监理的工程，发包人应在开工前将监理人和总监理工程师的名称、姓名、监理内容书面通知承包人。发包人如需更换监理人，应至少提前7天以书面形式通知承包人。</w:t>
      </w:r>
    </w:p>
    <w:p w14:paraId="48EEF7D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5" w:name="_Toc32498"/>
      <w:r>
        <w:rPr>
          <w:rFonts w:hint="eastAsia" w:ascii="仿宋_GB2312" w:hAnsi="仿宋_GB2312" w:eastAsia="仿宋_GB2312" w:cs="仿宋_GB2312"/>
          <w:b/>
          <w:sz w:val="28"/>
          <w:szCs w:val="28"/>
          <w:highlight w:val="none"/>
        </w:rPr>
        <w:t>5.2监理人的职权</w:t>
      </w:r>
      <w:bookmarkEnd w:id="95"/>
    </w:p>
    <w:p w14:paraId="1223737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理人应履行本合同条款约定的职责，行使本合同明示或必然隐含的权利，根据发包人授权及法律规定，代表发包人对工程施工相关事项进行检查、查验、审核、验收，并签发相关指示。除合同明确说明外，监理人无权修改合同，亦无权免除承包人在合同内的任何职责和义务。监理人在履行和行使其职权时，其任何行为或遗漏，不免除承包人履行合同约定的任何职责和义务。</w:t>
      </w:r>
    </w:p>
    <w:p w14:paraId="5BA7A75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6" w:name="_Toc1767"/>
      <w:r>
        <w:rPr>
          <w:rFonts w:hint="eastAsia" w:ascii="仿宋_GB2312" w:hAnsi="仿宋_GB2312" w:eastAsia="仿宋_GB2312" w:cs="仿宋_GB2312"/>
          <w:b/>
          <w:sz w:val="28"/>
          <w:szCs w:val="28"/>
          <w:highlight w:val="none"/>
        </w:rPr>
        <w:t>5.3监理人权力的限制</w:t>
      </w:r>
      <w:bookmarkEnd w:id="96"/>
    </w:p>
    <w:p w14:paraId="3AB8C12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⑴监理人行使下列权力时，应先取得发包人的批准。但是，当监理人行使下列需经发包人批准的权力时，应视为发包人已予批准：</w:t>
      </w:r>
    </w:p>
    <w:p w14:paraId="212795A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①发布开工令、停工令、复工令；</w:t>
      </w:r>
    </w:p>
    <w:p w14:paraId="42FA967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②向设计人或承包人提出建议且提出的建议可能会提高工程造价或延误工期；</w:t>
      </w:r>
    </w:p>
    <w:p w14:paraId="1B5EBC2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③对本工程任何形式、数量、质量、价款和内容上的变动；</w:t>
      </w:r>
    </w:p>
    <w:p w14:paraId="2488091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④对合同约定的承包人职责和义务进行变更；</w:t>
      </w:r>
    </w:p>
    <w:p w14:paraId="5350551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⑤提出或批准索赔；</w:t>
      </w:r>
    </w:p>
    <w:p w14:paraId="6C3EB1D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⑥签发工程款支付证书；</w:t>
      </w:r>
    </w:p>
    <w:p w14:paraId="16C68C9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⑦合同条款中明确约定应取得发包人批准的其他权力；</w:t>
      </w:r>
    </w:p>
    <w:p w14:paraId="0A282B5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中明确的其他需经发包人批准的权力。</w:t>
      </w:r>
    </w:p>
    <w:p w14:paraId="322B1F8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当监理人认为出现了危及人身、财产安全和立即影响工程安危的紧急情况，且不可能在事前把情况报告给发包人时，在不免除合同约定的承包人的任何职责和义务的情况下，监理人可先行行使5.3款⑴中的权力，并应在事后24小时内向发包人作出书面报告。</w:t>
      </w:r>
    </w:p>
    <w:p w14:paraId="29D9DEC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7" w:name="_Toc27047"/>
      <w:r>
        <w:rPr>
          <w:rFonts w:hint="eastAsia" w:ascii="仿宋_GB2312" w:hAnsi="仿宋_GB2312" w:eastAsia="仿宋_GB2312" w:cs="仿宋_GB2312"/>
          <w:b/>
          <w:sz w:val="28"/>
          <w:szCs w:val="28"/>
          <w:highlight w:val="none"/>
        </w:rPr>
        <w:t>5.4总监理工程师</w:t>
      </w:r>
      <w:bookmarkEnd w:id="97"/>
    </w:p>
    <w:p w14:paraId="6C15C73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监理人可随时将其任何职责和权力授予其任命的总监理工程师(按有关规定或发包人指定必须由监理人亲自履行的职权不得转授)，亦可随时将其授予总监理工程师的任何职权撤回。任何此类授权和撤回应由监理人提前7天以书面形式通知发包人和承包人，在未将有关文件副本送交承包人之前，该项授权和撤回不能生效。</w:t>
      </w:r>
    </w:p>
    <w:p w14:paraId="220641F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⑵总监理工程师对监理人负责，履行和行使监理人授予的职责和权力。总监理工程师在其授权范围内履行职权时，视同监理人。</w:t>
      </w:r>
    </w:p>
    <w:p w14:paraId="27FBF8A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8" w:name="_Toc20859"/>
      <w:r>
        <w:rPr>
          <w:rFonts w:hint="eastAsia" w:ascii="仿宋_GB2312" w:hAnsi="仿宋_GB2312" w:eastAsia="仿宋_GB2312" w:cs="仿宋_GB2312"/>
          <w:b/>
          <w:sz w:val="28"/>
          <w:szCs w:val="28"/>
          <w:highlight w:val="none"/>
        </w:rPr>
        <w:t>5.5监理人指令</w:t>
      </w:r>
      <w:bookmarkEnd w:id="98"/>
    </w:p>
    <w:p w14:paraId="2AF4CAA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⑴监理人应按合同约定，及时向承包人提供所需的指令。监理人的指令以书面形式送达项目经理，项目经理在回执上签署姓名和收到时间后生效。</w:t>
      </w:r>
    </w:p>
    <w:p w14:paraId="71BB32A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必要时，监理人可以发出口头指令，并在48小时内给予书面确认。对监理人的口头指令，承包人应予执行。如承包人在监理人发出的口头指令48小时之后，未收到监理人的书面确认，应在监理人发出口头指令后7天内提出书面确认要求，监理人应在承包人提出书面确认要求后48小时内给予答复，逾期不予答复的，视为口头指令已被确认。</w:t>
      </w:r>
    </w:p>
    <w:p w14:paraId="212DED3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认为监理人的指令不合理，应在收到指令后24小时内向监理人报告，监理人应在收到承包人报告后24小时内作出修改指令或继续执行原指令的决定，通知承包人。监理人逾期未回复的，承包人有权拒绝执行上述指示。</w:t>
      </w:r>
    </w:p>
    <w:p w14:paraId="79B9E1E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⑷监理人对承包人的任何工作、工程或其采用的材料和工程设备未在约定的或合理期限内提出意见的，视为批准，但不免除或减轻承包人对该工作、工程、材料、工程设备等应承担的责任和义务。</w:t>
      </w:r>
    </w:p>
    <w:p w14:paraId="5705116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99" w:name="_Toc10744"/>
      <w:r>
        <w:rPr>
          <w:rFonts w:ascii="仿宋_GB2312" w:hAnsi="仿宋_GB2312" w:eastAsia="仿宋_GB2312" w:cs="仿宋_GB2312"/>
          <w:b/>
          <w:sz w:val="28"/>
          <w:szCs w:val="28"/>
          <w:highlight w:val="none"/>
        </w:rPr>
        <w:t>5.6监理人未尽义务或失误</w:t>
      </w:r>
      <w:bookmarkEnd w:id="99"/>
    </w:p>
    <w:p w14:paraId="648A414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理人应按本合同约定，及时向承包人提供所需的指令、批准并履行约定的其他义务。因监理人未能按合同约定履行义务或因监理人的失误，给承包人造成损失和(或)导致工期延误的，发包人应赔偿承包人的损失，顺延延误的工期。</w:t>
      </w:r>
    </w:p>
    <w:p w14:paraId="43993508">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00" w:name="_Toc28678"/>
      <w:r>
        <w:rPr>
          <w:rFonts w:hint="eastAsia" w:ascii="仿宋_GB2312" w:hAnsi="仿宋_GB2312" w:eastAsia="仿宋_GB2312" w:cs="仿宋_GB2312"/>
          <w:b/>
          <w:bCs/>
          <w:sz w:val="28"/>
          <w:szCs w:val="28"/>
          <w:highlight w:val="none"/>
        </w:rPr>
        <w:t>6.转让、分包</w:t>
      </w:r>
      <w:bookmarkEnd w:id="100"/>
    </w:p>
    <w:p w14:paraId="41E4D60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101" w:name="_Toc28926"/>
      <w:r>
        <w:rPr>
          <w:rFonts w:hint="eastAsia" w:ascii="仿宋_GB2312" w:hAnsi="仿宋_GB2312" w:eastAsia="仿宋_GB2312" w:cs="仿宋_GB2312"/>
          <w:b/>
          <w:sz w:val="28"/>
          <w:szCs w:val="28"/>
          <w:highlight w:val="none"/>
        </w:rPr>
        <w:t>6.1转让</w:t>
      </w:r>
      <w:bookmarkEnd w:id="101"/>
    </w:p>
    <w:p w14:paraId="67EF5E0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承包人不得将本合同的全部工程或其中任何部分转让给其他单位或个人。如承包人有上述转让行为，按照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125A7C7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02" w:name="_Toc28576"/>
      <w:r>
        <w:rPr>
          <w:rFonts w:hint="eastAsia" w:ascii="仿宋_GB2312" w:hAnsi="仿宋_GB2312" w:eastAsia="仿宋_GB2312" w:cs="仿宋_GB2312"/>
          <w:b/>
          <w:sz w:val="28"/>
          <w:szCs w:val="28"/>
          <w:highlight w:val="none"/>
        </w:rPr>
        <w:t>6.2分包</w:t>
      </w:r>
      <w:bookmarkEnd w:id="102"/>
    </w:p>
    <w:p w14:paraId="33883FE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⑴如承包人不具备其本工程承包范围内的某专业工程的专项施工资质时，应对该专业工程实施分包。</w:t>
      </w:r>
    </w:p>
    <w:p w14:paraId="42751FF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⑵承包人不得将工程主体结构、关键性工作及</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中禁止分包的专业工程分包给第三人，主体结构、关键性工作的范围由承发包双方按照法律规定在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中予以明确。</w:t>
      </w:r>
    </w:p>
    <w:p w14:paraId="6B4487F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⑶未报经监理人审查并取得发包人批准，承包人不得将其本工程承包范围内的任何部分工程分包。如承包人有未经发包人同意的分包行为，按照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2677FB2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⑷承包人应禁止分包人将分包工程的任何部分再分包。如出现分包人将分包工程的任何部分再分包的行为，承包人应按照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66248E2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⑸承包人不得将其承包范围内全部工程肢解分包。如承包人有将其承包范围内全部工程肢解分包的行为，按照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7AD14BE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03" w:name="_Toc15947"/>
      <w:r>
        <w:rPr>
          <w:rFonts w:hint="eastAsia" w:ascii="仿宋_GB2312" w:hAnsi="仿宋_GB2312" w:eastAsia="仿宋_GB2312" w:cs="仿宋_GB2312"/>
          <w:b/>
          <w:sz w:val="28"/>
          <w:szCs w:val="28"/>
          <w:highlight w:val="none"/>
        </w:rPr>
        <w:t>6.3分包人的确定</w:t>
      </w:r>
      <w:bookmarkEnd w:id="103"/>
    </w:p>
    <w:p w14:paraId="1FF182B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⑴承包人按照6.2⑴款对某专业工程实施分包时，分包人必须具备承建该专业工程的施工资质条件，同时满足</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约定的条件。</w:t>
      </w:r>
    </w:p>
    <w:p w14:paraId="1E22FD9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⑵选择分包人时，承包人有义务依据监理人的要求向监理人提供拟选分包人的一切资料，经发包人和监理人批准后作为分包人。</w:t>
      </w:r>
    </w:p>
    <w:p w14:paraId="27DCFB6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04" w:name="_Toc17669"/>
      <w:r>
        <w:rPr>
          <w:rFonts w:hint="eastAsia" w:ascii="仿宋_GB2312" w:hAnsi="仿宋_GB2312" w:eastAsia="仿宋_GB2312" w:cs="仿宋_GB2312"/>
          <w:b/>
          <w:sz w:val="28"/>
          <w:szCs w:val="28"/>
          <w:highlight w:val="none"/>
        </w:rPr>
        <w:t>6.4分包合同</w:t>
      </w:r>
      <w:bookmarkEnd w:id="104"/>
    </w:p>
    <w:p w14:paraId="085BF2D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⑴承包人与分包人签订分包合同后7天内，应将分包合同送发包人和监理人各一份存档。承包人应按有关规定将分包合同送建设行政主管部门备案。</w:t>
      </w:r>
    </w:p>
    <w:p w14:paraId="1590E08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14:paraId="0058A95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⑶分包工程价款由承包人与分包人结算。除本合同另有约定或取得承包人的同意外，发包人不得以任何形式向分包人支付各种工程价款。</w:t>
      </w:r>
    </w:p>
    <w:p w14:paraId="191CDCA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有义务向发包人提供其向分包人支付工程款项的证明。如承包人有拖欠分包人工程款项行为的，视为承包人违约，发包人有权直接向分包人支付承包人未支付的应得款项，并从承包人的应得工程款项中抵扣。</w:t>
      </w:r>
    </w:p>
    <w:p w14:paraId="23ECFDF3">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05" w:name="_Toc8535"/>
      <w:r>
        <w:rPr>
          <w:rFonts w:hint="eastAsia" w:ascii="仿宋_GB2312" w:hAnsi="仿宋_GB2312" w:eastAsia="仿宋_GB2312" w:cs="仿宋_GB2312"/>
          <w:b/>
          <w:bCs/>
          <w:sz w:val="28"/>
          <w:szCs w:val="28"/>
          <w:highlight w:val="none"/>
        </w:rPr>
        <w:t>7.专业工程发包</w:t>
      </w:r>
      <w:bookmarkEnd w:id="105"/>
    </w:p>
    <w:p w14:paraId="3232681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06" w:name="_Toc8399"/>
      <w:r>
        <w:rPr>
          <w:rFonts w:hint="eastAsia" w:ascii="仿宋_GB2312" w:hAnsi="仿宋_GB2312" w:eastAsia="仿宋_GB2312" w:cs="仿宋_GB2312"/>
          <w:b/>
          <w:sz w:val="28"/>
          <w:szCs w:val="28"/>
          <w:highlight w:val="none"/>
        </w:rPr>
        <w:t>7.1专业工程承包人</w:t>
      </w:r>
      <w:bookmarkEnd w:id="106"/>
    </w:p>
    <w:p w14:paraId="288C140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⑴发包人可将本工程中承包人承包范围以外的专业工程，按照有关法律、法规的规定另行组织招标确定专业工程承包人，并在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中明确另行发包的专业工程以及专业工程承包人。</w:t>
      </w:r>
    </w:p>
    <w:p w14:paraId="065A676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14:paraId="7AA496B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⑶专业工程承包人应接受承包人的统一协调管理，施工中协作配合。</w:t>
      </w:r>
    </w:p>
    <w:p w14:paraId="6BAFD4E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07" w:name="_Toc29517"/>
      <w:r>
        <w:rPr>
          <w:rFonts w:hint="eastAsia" w:ascii="仿宋_GB2312" w:hAnsi="仿宋_GB2312" w:eastAsia="仿宋_GB2312" w:cs="仿宋_GB2312"/>
          <w:b/>
          <w:sz w:val="28"/>
          <w:szCs w:val="28"/>
          <w:highlight w:val="none"/>
        </w:rPr>
        <w:t>7.2总承包服务费</w:t>
      </w:r>
      <w:bookmarkEnd w:id="107"/>
    </w:p>
    <w:p w14:paraId="2261F6A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总承包服务费是承包人为配合协调发包人进行的专业工程发包、对发包人自行采购的材料与设备等进行保管以及施工现场管理、竣工资料汇总整理等服务所需的费用。包括总包管理服务费和发包人供应材料（设备）保管费，其对应的工作内容可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中详细约定。</w:t>
      </w:r>
    </w:p>
    <w:p w14:paraId="352C7ED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⑵发包人自行发包的专业工程需要使用承包人设施或其提供的服务，其费用已包含在总包工程费用或该分包工程费用中，可由专业工程承包人和承包人根据该设施或服务情况协商支付，不得向发包人另行索要。</w:t>
      </w:r>
    </w:p>
    <w:p w14:paraId="4C3E01F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08" w:name="_Toc7825"/>
      <w:r>
        <w:rPr>
          <w:rFonts w:hint="eastAsia" w:ascii="仿宋_GB2312" w:hAnsi="仿宋_GB2312" w:eastAsia="仿宋_GB2312" w:cs="仿宋_GB2312"/>
          <w:b/>
          <w:sz w:val="28"/>
          <w:szCs w:val="28"/>
          <w:highlight w:val="none"/>
        </w:rPr>
        <w:t>7.3工作界面协调</w:t>
      </w:r>
      <w:bookmarkEnd w:id="108"/>
    </w:p>
    <w:p w14:paraId="41A0633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⑴承包人应做好与本工程相关各专业工作界面的协调工作。本工程施工期间，承包人应无条件服从发包人及监理人的统一协调指令，并指定专人负责接口协调工作，确保发包人及监理人指令的及时实施。</w:t>
      </w:r>
    </w:p>
    <w:p w14:paraId="3F72264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在编制施工组织设计时，应根据设计文件和现场调查资料，充分考虑施工接口的部位及内容，制定可能引起接口部位安全质量问题的预防措施；及时向监理人提交本工程需其它专业工程提供接口的细目清单，交由监理人统一协调；或接受监理人的接口指令，及时实施接口指令作业。</w:t>
      </w:r>
    </w:p>
    <w:p w14:paraId="4D0DD7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⑶承包人与其它工程之间应当就施工接口、测量控制网点、预埋件(预留孔洞)位置和尺寸等资料及时互通信息，中线控制桩点应贯通测定，水准点应相互闭合，以确保施工顺利进行，避免工程质量事故的发生。</w:t>
      </w:r>
    </w:p>
    <w:p w14:paraId="6430420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⑷由于承包人未能及时对工程接口问题进行协调或未及时实施监理人接口指令而造成工程延误、返工或其它损失，所有损失和费用由承包人承担。发包人或监理人均有权根据实际情况，要求承包人支付</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约定的违约金，包括并不限于采取扣付工程款等方式。</w:t>
      </w:r>
    </w:p>
    <w:p w14:paraId="629F2170">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09" w:name="_Toc13376"/>
      <w:r>
        <w:rPr>
          <w:rFonts w:hint="eastAsia" w:ascii="仿宋_GB2312" w:hAnsi="仿宋_GB2312" w:eastAsia="仿宋_GB2312" w:cs="仿宋_GB2312"/>
          <w:b/>
          <w:bCs/>
          <w:sz w:val="28"/>
          <w:szCs w:val="28"/>
          <w:highlight w:val="none"/>
        </w:rPr>
        <w:t>8.用工和劳务</w:t>
      </w:r>
      <w:bookmarkEnd w:id="109"/>
    </w:p>
    <w:p w14:paraId="1B973B8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10" w:name="_Toc28081"/>
      <w:r>
        <w:rPr>
          <w:rFonts w:hint="eastAsia" w:ascii="仿宋_GB2312" w:hAnsi="仿宋_GB2312" w:eastAsia="仿宋_GB2312" w:cs="仿宋_GB2312"/>
          <w:b/>
          <w:sz w:val="28"/>
          <w:szCs w:val="28"/>
          <w:highlight w:val="none"/>
        </w:rPr>
        <w:t>8.1劳动合同</w:t>
      </w:r>
      <w:bookmarkEnd w:id="110"/>
    </w:p>
    <w:p w14:paraId="60EF769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⑴除合同另有规定外，承包人应自行聘(雇)用劳动者。承包人不得从为发包人或监理人服务的人员中招雇任何人员。</w:t>
      </w:r>
    </w:p>
    <w:p w14:paraId="0D550E2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⑵承包人应按照劳动法和劳动合同法的相关规定与聘(雇)用劳动者签订劳动合同，缴纳社会保险，按国家规定提供劳动保护，明确劳动报酬等内容，及时足额支付工资等劳动报酬。</w:t>
      </w:r>
    </w:p>
    <w:p w14:paraId="5FCABA1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⑶若发包人或监理人发现有未签订劳动合同的劳动者在现场施工，则视为承包人违约，并承担</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约定的违约责任。</w:t>
      </w:r>
    </w:p>
    <w:p w14:paraId="60F1F34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11" w:name="_Toc20243"/>
      <w:r>
        <w:rPr>
          <w:rFonts w:hint="eastAsia" w:ascii="仿宋_GB2312" w:hAnsi="仿宋_GB2312" w:eastAsia="仿宋_GB2312" w:cs="仿宋_GB2312"/>
          <w:b/>
          <w:sz w:val="28"/>
          <w:szCs w:val="28"/>
          <w:highlight w:val="none"/>
        </w:rPr>
        <w:t>8.2劳务分包</w:t>
      </w:r>
      <w:bookmarkEnd w:id="111"/>
    </w:p>
    <w:p w14:paraId="16D8007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⑴承包人实施劳务分包的，应将劳务发包给具有相应劳务资质的劳务企业，并按照劳务分包合同约定及时足额向劳务企业支付劳务费用。</w:t>
      </w:r>
    </w:p>
    <w:p w14:paraId="546D7DF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⑵承包人应在劳务分包合同中要求劳务分包企业对所有派遣劳动者购买意外伤害险和工伤保险，保险金额不得低于</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额度。保险单复印件应提供一份给发包人备案，承包人未对劳务分包企业提出此要求或虽然提出此要求但劳务企业未购买此保险的，承包人应完善相关购买手续，否则承包人与劳务分包企业向受伤害劳动者承担连带赔偿责任。</w:t>
      </w:r>
    </w:p>
    <w:p w14:paraId="75ECDBE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12" w:name="_Toc19000"/>
      <w:r>
        <w:rPr>
          <w:rFonts w:hint="eastAsia" w:ascii="仿宋_GB2312" w:hAnsi="仿宋_GB2312" w:eastAsia="仿宋_GB2312" w:cs="仿宋_GB2312"/>
          <w:b/>
          <w:sz w:val="28"/>
          <w:szCs w:val="28"/>
          <w:highlight w:val="none"/>
        </w:rPr>
        <w:t>8.3劳务分包合同</w:t>
      </w:r>
      <w:bookmarkEnd w:id="112"/>
    </w:p>
    <w:p w14:paraId="304066A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⑴选择劳务分包企业时，承包人有义务依据监理人的要求向监理人提供拟选劳务分包企业的一切资料，经发包人和监理人批准后作为劳务分包企业。</w:t>
      </w:r>
    </w:p>
    <w:p w14:paraId="67C6293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⑵承包人与劳务分包企业签订劳务分包合同后7天内，应将劳务分包合同送发包人和监理人各一份存档。承包人应按有关规定将劳务分包合同送建设行政主管部门备案。</w:t>
      </w:r>
    </w:p>
    <w:p w14:paraId="348A1C8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⑶若发包人或监理人发现工地上有未签订劳务分包合同或签订的劳务分包合同未按前款要求进行备案的劳务企业人员在现场施工，则视为承包人违约，并承担</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约定的违约责任。</w:t>
      </w:r>
    </w:p>
    <w:p w14:paraId="236830D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13" w:name="_Toc24987"/>
      <w:r>
        <w:rPr>
          <w:rFonts w:hint="eastAsia" w:ascii="仿宋_GB2312" w:hAnsi="仿宋_GB2312" w:eastAsia="仿宋_GB2312" w:cs="仿宋_GB2312"/>
          <w:b/>
          <w:sz w:val="28"/>
          <w:szCs w:val="28"/>
          <w:highlight w:val="none"/>
        </w:rPr>
        <w:t>8.4工人工资</w:t>
      </w:r>
      <w:bookmarkEnd w:id="113"/>
    </w:p>
    <w:p w14:paraId="1E6926C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⑴承包人应按照有关规定开设工人工资专用账户，专项用于发放本工程工人工资。开设、使用工人工资专用账户有关资料应由承包人妥善保存备查。</w:t>
      </w:r>
    </w:p>
    <w:p w14:paraId="4A2B908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⑵发包人应及时足额地将合同约定的工人工资支付款项支付到工人工资专用账户，并加强对承包人按时足额发放工人工资的监督。</w:t>
      </w:r>
    </w:p>
    <w:p w14:paraId="02EF0ED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承包人必须严格按照国家、省、市等有关规定支付工资、劳务费，不得拖欠或克扣。对发包人支付的工程款，承包人须优先用于支付</w:t>
      </w:r>
      <w:r>
        <w:rPr>
          <w:rFonts w:hint="eastAsia" w:ascii="仿宋_GB2312" w:hAnsi="仿宋_GB2312" w:eastAsia="仿宋_GB2312" w:cs="仿宋_GB2312"/>
          <w:sz w:val="28"/>
          <w:szCs w:val="28"/>
          <w:highlight w:val="none"/>
          <w:lang w:eastAsia="zh-CN"/>
        </w:rPr>
        <w:t>工人工资</w:t>
      </w:r>
      <w:r>
        <w:rPr>
          <w:rFonts w:hint="eastAsia" w:ascii="仿宋_GB2312" w:hAnsi="仿宋_GB2312" w:eastAsia="仿宋_GB2312" w:cs="仿宋_GB2312"/>
          <w:sz w:val="28"/>
          <w:szCs w:val="28"/>
          <w:highlight w:val="none"/>
        </w:rPr>
        <w:t>和劳务分包企业的劳务费。</w:t>
      </w:r>
    </w:p>
    <w:p w14:paraId="7F563E0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114" w:name="_Hlk4714070"/>
      <w:bookmarkStart w:id="115" w:name="_Hlk4714021"/>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承包人拖欠</w:t>
      </w:r>
      <w:r>
        <w:rPr>
          <w:rFonts w:hint="eastAsia" w:ascii="仿宋_GB2312" w:hAnsi="仿宋_GB2312" w:eastAsia="仿宋_GB2312" w:cs="仿宋_GB2312"/>
          <w:sz w:val="28"/>
          <w:szCs w:val="28"/>
          <w:highlight w:val="none"/>
          <w:lang w:eastAsia="zh-CN"/>
        </w:rPr>
        <w:t>工人工资</w:t>
      </w:r>
      <w:r>
        <w:rPr>
          <w:rFonts w:hint="eastAsia" w:ascii="仿宋_GB2312" w:hAnsi="仿宋_GB2312" w:eastAsia="仿宋_GB2312" w:cs="仿宋_GB2312"/>
          <w:sz w:val="28"/>
          <w:szCs w:val="28"/>
          <w:highlight w:val="none"/>
        </w:rPr>
        <w:t>或劳务分包企业劳务费用的，经被拖欠人催付，承包人仍不予支付的，在被拖欠人向发包人请求代为支付的情况下，经发包人和监理人核查情况属实的，视为承包人违约，发包人有权从承包人的工程款(或预付款、保证金等)中扣付拖欠的</w:t>
      </w:r>
      <w:r>
        <w:rPr>
          <w:rFonts w:hint="eastAsia" w:ascii="仿宋_GB2312" w:hAnsi="仿宋_GB2312" w:eastAsia="仿宋_GB2312" w:cs="仿宋_GB2312"/>
          <w:sz w:val="28"/>
          <w:szCs w:val="28"/>
          <w:highlight w:val="none"/>
          <w:lang w:eastAsia="zh-CN"/>
        </w:rPr>
        <w:t>工人工资</w:t>
      </w:r>
      <w:r>
        <w:rPr>
          <w:rFonts w:hint="eastAsia" w:ascii="仿宋_GB2312" w:hAnsi="仿宋_GB2312" w:eastAsia="仿宋_GB2312" w:cs="仿宋_GB2312"/>
          <w:sz w:val="28"/>
          <w:szCs w:val="28"/>
          <w:highlight w:val="none"/>
        </w:rPr>
        <w:t>或劳务费</w:t>
      </w:r>
      <w:bookmarkEnd w:id="114"/>
      <w:r>
        <w:rPr>
          <w:rFonts w:hint="eastAsia" w:ascii="仿宋_GB2312" w:hAnsi="仿宋_GB2312" w:eastAsia="仿宋_GB2312" w:cs="仿宋_GB2312"/>
          <w:sz w:val="28"/>
          <w:szCs w:val="28"/>
          <w:highlight w:val="none"/>
        </w:rPr>
        <w:t>。</w:t>
      </w:r>
    </w:p>
    <w:bookmarkEnd w:id="115"/>
    <w:p w14:paraId="5C1BA94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16" w:name="_Toc3308"/>
      <w:r>
        <w:rPr>
          <w:rFonts w:hint="eastAsia" w:ascii="仿宋_GB2312" w:hAnsi="仿宋_GB2312" w:eastAsia="仿宋_GB2312" w:cs="仿宋_GB2312"/>
          <w:b/>
          <w:sz w:val="28"/>
          <w:szCs w:val="28"/>
          <w:highlight w:val="none"/>
        </w:rPr>
        <w:t>8.5职业健康</w:t>
      </w:r>
      <w:bookmarkEnd w:id="116"/>
    </w:p>
    <w:p w14:paraId="102CF6A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按照法律规定安排现场施工人员的劳动和休息时间，保障劳动者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D69DF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1BC2C43A">
      <w:pPr>
        <w:keepNext w:val="0"/>
        <w:keepLines w:val="0"/>
        <w:pageBreakBefore w:val="0"/>
        <w:widowControl w:val="0"/>
        <w:numPr>
          <w:ilvl w:val="-1"/>
          <w:numId w:val="0"/>
        </w:numPr>
        <w:tabs>
          <w:tab w:val="left" w:pos="540"/>
          <w:tab w:val="left" w:pos="900"/>
        </w:tabs>
        <w:kinsoku/>
        <w:wordWrap/>
        <w:overflowPunct/>
        <w:topLinePunct w:val="0"/>
        <w:autoSpaceDE/>
        <w:autoSpaceDN/>
        <w:bidi w:val="0"/>
        <w:adjustRightInd w:val="0"/>
        <w:snapToGrid w:val="0"/>
        <w:spacing w:line="560" w:lineRule="exact"/>
        <w:ind w:left="0" w:leftChars="0" w:right="0" w:rightChars="0" w:firstLine="281" w:firstLineChars="100"/>
        <w:jc w:val="left"/>
        <w:textAlignment w:val="auto"/>
        <w:outlineLvl w:val="2"/>
        <w:rPr>
          <w:rFonts w:hint="eastAsia" w:ascii="仿宋_GB2312" w:hAnsi="仿宋_GB2312" w:eastAsia="仿宋_GB2312" w:cs="仿宋_GB2312"/>
          <w:kern w:val="2"/>
          <w:sz w:val="28"/>
          <w:szCs w:val="28"/>
          <w:highlight w:val="none"/>
        </w:rPr>
      </w:pPr>
      <w:bookmarkStart w:id="117" w:name="_Toc21180"/>
      <w:r>
        <w:rPr>
          <w:rFonts w:hint="eastAsia" w:ascii="仿宋_GB2312" w:hAnsi="仿宋_GB2312" w:eastAsia="仿宋_GB2312" w:cs="仿宋_GB2312"/>
          <w:b/>
          <w:bCs/>
          <w:kern w:val="2"/>
          <w:sz w:val="28"/>
          <w:szCs w:val="28"/>
          <w:highlight w:val="none"/>
          <w:lang w:val="en-US" w:eastAsia="zh-CN"/>
        </w:rPr>
        <w:t xml:space="preserve">8.6 </w:t>
      </w:r>
      <w:r>
        <w:rPr>
          <w:rFonts w:hint="eastAsia" w:ascii="仿宋_GB2312" w:hAnsi="仿宋_GB2312" w:eastAsia="仿宋_GB2312" w:cs="仿宋_GB2312"/>
          <w:kern w:val="2"/>
          <w:sz w:val="28"/>
          <w:szCs w:val="28"/>
          <w:highlight w:val="none"/>
        </w:rPr>
        <w:t>用工培训</w:t>
      </w:r>
      <w:bookmarkEnd w:id="117"/>
    </w:p>
    <w:p w14:paraId="02EAA2A6">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⑴承包人应切实履行用工主体责任，按照《深圳市工程建设行业产业工人职业训练管理办法》等有关规定计取和使用产业工人职业训练专项经费及开展产业工人职业训练。承包人应对产业工人职业训练专项经费实行专款专用，并妥善保存经费使用情况相关资料。承包人依法将建设工程分包的，应与分包人就经费使用在分包合同中约定。发包人应对经费使用进行监督。</w:t>
      </w:r>
    </w:p>
    <w:p w14:paraId="1A1DDACF">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highlight w:val="none"/>
        </w:rPr>
      </w:pPr>
      <w:r>
        <w:rPr>
          <w:rFonts w:hint="eastAsia" w:ascii="仿宋_GB2312" w:hAnsi="仿宋_GB2312" w:eastAsia="仿宋_GB2312" w:cs="仿宋_GB2312"/>
          <w:kern w:val="2"/>
          <w:sz w:val="28"/>
          <w:szCs w:val="28"/>
          <w:highlight w:val="none"/>
        </w:rPr>
        <w:t>⑵承包人应按照《深圳市工程建设行业产业工人职业训练管理办法》制定产业工人训练计划，组织工人参加质量安全基础训练，妥善保存产业工人年度训练计划、职业训练管理和实施情况相关资料。</w:t>
      </w:r>
    </w:p>
    <w:p w14:paraId="1215AF35">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18" w:name="_Toc5489"/>
      <w:r>
        <w:rPr>
          <w:rFonts w:hint="eastAsia" w:ascii="仿宋_GB2312" w:hAnsi="仿宋_GB2312" w:eastAsia="仿宋_GB2312" w:cs="仿宋_GB2312"/>
          <w:b/>
          <w:bCs/>
          <w:sz w:val="28"/>
          <w:szCs w:val="28"/>
          <w:highlight w:val="none"/>
        </w:rPr>
        <w:t>9.施工组织设计和进度计划</w:t>
      </w:r>
      <w:bookmarkEnd w:id="118"/>
    </w:p>
    <w:p w14:paraId="3A7BAD2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19" w:name="_Toc3734"/>
      <w:r>
        <w:rPr>
          <w:rFonts w:hint="eastAsia" w:ascii="仿宋_GB2312" w:hAnsi="仿宋_GB2312" w:eastAsia="仿宋_GB2312" w:cs="仿宋_GB2312"/>
          <w:b/>
          <w:sz w:val="28"/>
          <w:szCs w:val="28"/>
          <w:highlight w:val="none"/>
        </w:rPr>
        <w:t>9.1施工组织设计和进度计划的编制与提交</w:t>
      </w:r>
      <w:bookmarkEnd w:id="119"/>
    </w:p>
    <w:p w14:paraId="65EB8EE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⑴承包人应编制本工程和</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约定的单项工程的施工组织设计和进度计划，对合同工程的全部施工作业提出总体上的施工方法、施工安排、作业顺序和时间表。施工组织设计应包含以下内容：</w:t>
      </w:r>
    </w:p>
    <w:p w14:paraId="4533B03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①施工方案；</w:t>
      </w:r>
    </w:p>
    <w:p w14:paraId="0CC1992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②施工现场平面布置图；</w:t>
      </w:r>
    </w:p>
    <w:p w14:paraId="7B24B8A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③施工进度计划和保证措施；</w:t>
      </w:r>
    </w:p>
    <w:p w14:paraId="3A8DC71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④劳动力及材料供应计划；</w:t>
      </w:r>
    </w:p>
    <w:p w14:paraId="57CE3AE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⑤施工机械设备的选用；</w:t>
      </w:r>
    </w:p>
    <w:p w14:paraId="4F7F57A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⑥质量保证体系及措施；</w:t>
      </w:r>
    </w:p>
    <w:p w14:paraId="282E826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⑦安全生产、文明施工措施；</w:t>
      </w:r>
    </w:p>
    <w:p w14:paraId="01237B1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⑧环境保护、成本控制措施；</w:t>
      </w:r>
    </w:p>
    <w:p w14:paraId="421A37F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⑨承发包双方约定的其他内容。</w:t>
      </w:r>
    </w:p>
    <w:p w14:paraId="787E1AA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中约定的时间和要求向监理人提交施工组织设计和工程进度计划。监理人应按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中约定的时间予以确认或提出修改意见，逾期不确认也不提出修改意见的，应视为同意。监理人如期提出合理修改意见的，承包人应根据该意见按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约定的时间或要求提交修改后的施工组织设计和工程进度计划，待监理人确认后执行。监理人对上述计划的同意，不能因此而解除承包人根据本合同约定应负的任何责任或义务。</w:t>
      </w:r>
    </w:p>
    <w:p w14:paraId="347E84D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0" w:name="_Toc9799"/>
      <w:r>
        <w:rPr>
          <w:rFonts w:hint="eastAsia" w:ascii="仿宋_GB2312" w:hAnsi="仿宋_GB2312" w:eastAsia="仿宋_GB2312" w:cs="仿宋_GB2312"/>
          <w:b/>
          <w:sz w:val="28"/>
          <w:szCs w:val="28"/>
          <w:highlight w:val="none"/>
        </w:rPr>
        <w:t>9.2临时设施的图纸和文件</w:t>
      </w:r>
      <w:bookmarkEnd w:id="120"/>
    </w:p>
    <w:p w14:paraId="23B7E59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在施工组织设计提交的同时，向监理人报送本工程临时设施的图纸和资料文件。其内容包括(但不限于)临时设施总平面布置图及必要的文字说明，如生产、生活设施、水电供应、道路、排水系统、环保环卫、安全防护措施，相关管理制度(办法)等必要的文字说明和图表资料，经批准后实施。</w:t>
      </w:r>
    </w:p>
    <w:p w14:paraId="6AB9FF0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1" w:name="_Toc16641"/>
      <w:r>
        <w:rPr>
          <w:rFonts w:hint="eastAsia" w:ascii="仿宋_GB2312" w:hAnsi="仿宋_GB2312" w:eastAsia="仿宋_GB2312" w:cs="仿宋_GB2312"/>
          <w:b/>
          <w:sz w:val="28"/>
          <w:szCs w:val="28"/>
          <w:highlight w:val="none"/>
        </w:rPr>
        <w:t>9.3工程进度计划</w:t>
      </w:r>
      <w:bookmarkEnd w:id="121"/>
    </w:p>
    <w:p w14:paraId="286286D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进度计划应按照关键线路网络图和主要工作横道图两种形式分别编绘，并应包括每月预计完成的工作量和形象进度，在需要时每个月修正一次。承包人必须按监理人确认的进度计划组织施工，接受监理人对进度的检查、监督。工程实际进度对于在竣工时间内完工过于迟缓或与经确认的进度计划不符时，承包人应按监理人的要求和建议进行整改并提交修订的进度计划，经监理人确认后执行。因承包人的原因导致实际进度与进度计划不符，承包人无权就改进措施提出追加合同价款或要求延长工期。</w:t>
      </w:r>
    </w:p>
    <w:p w14:paraId="49CB74C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2" w:name="_Toc18909"/>
      <w:r>
        <w:rPr>
          <w:rFonts w:hint="eastAsia" w:ascii="仿宋_GB2312" w:hAnsi="仿宋_GB2312" w:eastAsia="仿宋_GB2312" w:cs="仿宋_GB2312"/>
          <w:b/>
          <w:sz w:val="28"/>
          <w:szCs w:val="28"/>
          <w:highlight w:val="none"/>
        </w:rPr>
        <w:t>9.4工程用款计划</w:t>
      </w:r>
      <w:bookmarkEnd w:id="122"/>
    </w:p>
    <w:p w14:paraId="1F603FA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的约定按工程进度计划向监理人提交按合同约定承包人有权得到支付的工程用款计划，以备监理人查阅。如监理人提出要求，承包人还应按要求提交修改的工程用款计划。</w:t>
      </w:r>
    </w:p>
    <w:p w14:paraId="5B3B9EB5">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23" w:name="_Toc26846"/>
      <w:r>
        <w:rPr>
          <w:rFonts w:hint="eastAsia" w:ascii="仿宋_GB2312" w:hAnsi="仿宋_GB2312" w:eastAsia="仿宋_GB2312" w:cs="仿宋_GB2312"/>
          <w:b/>
          <w:bCs/>
          <w:sz w:val="28"/>
          <w:szCs w:val="28"/>
          <w:highlight w:val="none"/>
        </w:rPr>
        <w:t>10.施工准备</w:t>
      </w:r>
      <w:bookmarkEnd w:id="123"/>
    </w:p>
    <w:p w14:paraId="29BFA05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4" w:name="_Toc20751"/>
      <w:r>
        <w:rPr>
          <w:rFonts w:hint="eastAsia" w:ascii="仿宋_GB2312" w:hAnsi="仿宋_GB2312" w:eastAsia="仿宋_GB2312" w:cs="仿宋_GB2312"/>
          <w:b/>
          <w:sz w:val="28"/>
          <w:szCs w:val="28"/>
          <w:highlight w:val="none"/>
        </w:rPr>
        <w:t>10.1现场考察与勘察资料分析</w:t>
      </w:r>
      <w:bookmarkEnd w:id="124"/>
    </w:p>
    <w:p w14:paraId="52E2CF2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发包人应对其所提供资料的准确性负责，承包人应对其对该资料的理解、判断和应用负责。</w:t>
      </w:r>
    </w:p>
    <w:p w14:paraId="6591BB6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14:paraId="0603D8E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5" w:name="_Toc13070"/>
      <w:r>
        <w:rPr>
          <w:rFonts w:hint="eastAsia" w:ascii="仿宋_GB2312" w:hAnsi="仿宋_GB2312" w:eastAsia="仿宋_GB2312" w:cs="仿宋_GB2312"/>
          <w:b/>
          <w:sz w:val="28"/>
          <w:szCs w:val="28"/>
          <w:highlight w:val="none"/>
        </w:rPr>
        <w:t>10.2施工场地提供</w:t>
      </w:r>
      <w:bookmarkEnd w:id="125"/>
    </w:p>
    <w:p w14:paraId="27BEF1C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p>
    <w:p w14:paraId="3FFE25E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未能按期办妥土地征用和搬迁手续，承包人在接到监理人通知后，应按监理人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p>
    <w:p w14:paraId="0435665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另有约定除外)。临时用地使用完毕后，承包人应自费将临时用地恢复原状。</w:t>
      </w:r>
    </w:p>
    <w:p w14:paraId="07DC279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6" w:name="_Toc16076"/>
      <w:r>
        <w:rPr>
          <w:rFonts w:hint="eastAsia" w:ascii="仿宋_GB2312" w:hAnsi="仿宋_GB2312" w:eastAsia="仿宋_GB2312" w:cs="仿宋_GB2312"/>
          <w:b/>
          <w:sz w:val="28"/>
          <w:szCs w:val="28"/>
          <w:highlight w:val="none"/>
        </w:rPr>
        <w:t>10.3施工放线</w:t>
      </w:r>
      <w:bookmarkEnd w:id="126"/>
    </w:p>
    <w:p w14:paraId="075AA81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应在至迟不得晚于第11.1款〔开工〕中开工通知书载明的开工日期前7天通过监理人向承包人提供工程施工所需的原始基准点、基准线和基准标高，并对其真实准确性负责，同时承担由于其错误而引起的承包人的费用损失和工期延误的补偿责任。</w:t>
      </w:r>
    </w:p>
    <w:p w14:paraId="29A1504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⑵承包人按上述基准负责对工程的所有部位正确定位，纠正在工程的位置、标高、尺寸或定线中的任何错误。监理人对放样、准线或标高的核查，均不应解除承包人对其准确性所负的责任。</w:t>
      </w:r>
    </w:p>
    <w:p w14:paraId="2749E25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⑶施工过程中对施工现场内水准点等测量标志物的保护工作由承包人负责。</w:t>
      </w:r>
    </w:p>
    <w:p w14:paraId="0EEBA3E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⑷承包人应落实工程项目范围内城市轨道交通隧道、给水管道、燃气管道的安全保护措施。</w:t>
      </w:r>
    </w:p>
    <w:p w14:paraId="013D9DC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7" w:name="_Toc16912"/>
      <w:r>
        <w:rPr>
          <w:rFonts w:hint="eastAsia" w:ascii="仿宋_GB2312" w:hAnsi="仿宋_GB2312" w:eastAsia="仿宋_GB2312" w:cs="仿宋_GB2312"/>
          <w:b/>
          <w:sz w:val="28"/>
          <w:szCs w:val="28"/>
          <w:highlight w:val="none"/>
        </w:rPr>
        <w:t>10.4施工组织准备工作</w:t>
      </w:r>
      <w:bookmarkEnd w:id="127"/>
    </w:p>
    <w:p w14:paraId="26E14B1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本工程开工前，承包人应及时做好如下施工组织准备工作(包括但不限于)：</w:t>
      </w:r>
    </w:p>
    <w:p w14:paraId="162E17B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⑴组建施工管理机构和专业作业队伍，并进行进场前的施工教育培训；</w:t>
      </w:r>
    </w:p>
    <w:p w14:paraId="2E937C9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⑵编制材料和设备供应计划并做好供应，安排好预制构件和非标准件加工以及施工机具设备的维修保养工作；</w:t>
      </w:r>
    </w:p>
    <w:p w14:paraId="73B752A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⑶核实场内搬迁项目情况，并报监理人交由发包人与有关部门处理；</w:t>
      </w:r>
    </w:p>
    <w:p w14:paraId="75D2AC4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⑷架设供电线路，接通施工用水管路，确定材料、设备等运输线路；</w:t>
      </w:r>
    </w:p>
    <w:p w14:paraId="2882B13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⑸做好场区的临时排水、泄水口、车辆、车轮冲洗沟槽设施及场地、道路硬化等及其他全部临时工程；</w:t>
      </w:r>
    </w:p>
    <w:p w14:paraId="6160CE5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⑹组织施工机械设备和材料进场；</w:t>
      </w:r>
    </w:p>
    <w:p w14:paraId="1DC27FF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⑺落实季节性施工措施；</w:t>
      </w:r>
    </w:p>
    <w:p w14:paraId="04CE72F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⑻向监理人提交安全生产(含消防安全)计划；落实安全、消防和保安措施，以及文明施工管理措施。</w:t>
      </w:r>
    </w:p>
    <w:p w14:paraId="394093B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8" w:name="_Toc20921"/>
      <w:r>
        <w:rPr>
          <w:rFonts w:hint="eastAsia" w:ascii="仿宋_GB2312" w:hAnsi="仿宋_GB2312" w:eastAsia="仿宋_GB2312" w:cs="仿宋_GB2312"/>
          <w:b/>
          <w:sz w:val="28"/>
          <w:szCs w:val="28"/>
          <w:highlight w:val="none"/>
        </w:rPr>
        <w:t>10.5施工技术准备工作</w:t>
      </w:r>
      <w:bookmarkEnd w:id="128"/>
    </w:p>
    <w:p w14:paraId="230D6B1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本工程开工前，承包人应及时做好如下施工技术准备工作(包括但不限于)：</w:t>
      </w:r>
    </w:p>
    <w:p w14:paraId="20A2DD9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⑴熟悉、审核设计图，参加监理人组织的设计交底和图纸会审；</w:t>
      </w:r>
    </w:p>
    <w:p w14:paraId="3C2677F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⑵参与监理人组织的测量交桩，复测控制桩和水准点，并制定测量方案和监控量测方案；</w:t>
      </w:r>
    </w:p>
    <w:p w14:paraId="3936C6A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⑶按监理人要求，优化施工组织设计；</w:t>
      </w:r>
    </w:p>
    <w:p w14:paraId="213C785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⑷做好技术交底和培训，安排好检验试验工作。</w:t>
      </w:r>
    </w:p>
    <w:p w14:paraId="7CA91FF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29" w:name="_Toc28560"/>
      <w:r>
        <w:rPr>
          <w:rFonts w:hint="eastAsia" w:ascii="仿宋_GB2312" w:hAnsi="仿宋_GB2312" w:eastAsia="仿宋_GB2312" w:cs="仿宋_GB2312"/>
          <w:b/>
          <w:sz w:val="28"/>
          <w:szCs w:val="28"/>
          <w:highlight w:val="none"/>
        </w:rPr>
        <w:t>10.6</w:t>
      </w:r>
      <w:bookmarkStart w:id="130" w:name="_Hlk534189249"/>
      <w:r>
        <w:rPr>
          <w:rFonts w:hint="eastAsia" w:ascii="仿宋_GB2312" w:hAnsi="仿宋_GB2312" w:eastAsia="仿宋_GB2312" w:cs="仿宋_GB2312"/>
          <w:b/>
          <w:sz w:val="28"/>
          <w:szCs w:val="28"/>
          <w:highlight w:val="none"/>
        </w:rPr>
        <w:t>不利的外界障碍或条件</w:t>
      </w:r>
      <w:bookmarkEnd w:id="129"/>
      <w:bookmarkEnd w:id="130"/>
    </w:p>
    <w:p w14:paraId="35C5798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⑴在施工期间，如遇到承包人无法预见的外界障碍或条件，给承包人造成损失和(或)导致工期延误的，发包人应顺延延误的工期，费用的承担在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中另行约定。</w:t>
      </w:r>
    </w:p>
    <w:p w14:paraId="2F5787B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⑵在确定损失和(或)延误的工期时，应该考虑监理人已经发给承包人与此有关的指令，以及在没有监理人具体指令情况下，承包人所采取的合理措施。</w:t>
      </w:r>
    </w:p>
    <w:p w14:paraId="342AD8E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⑶对于</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已经明确指出的不利的外界障碍或条件，均视为承包人在接受合同时已预见其影响因素并已在投标报价中计入由于其影响而可能发生的一切费用。</w:t>
      </w:r>
    </w:p>
    <w:p w14:paraId="4841F650">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31" w:name="_Toc9219"/>
      <w:r>
        <w:rPr>
          <w:rFonts w:hint="eastAsia" w:ascii="仿宋_GB2312" w:hAnsi="仿宋_GB2312" w:eastAsia="仿宋_GB2312" w:cs="仿宋_GB2312"/>
          <w:b/>
          <w:bCs/>
          <w:sz w:val="28"/>
          <w:szCs w:val="28"/>
          <w:highlight w:val="none"/>
        </w:rPr>
        <w:t>11.开工及延期</w:t>
      </w:r>
      <w:bookmarkEnd w:id="131"/>
    </w:p>
    <w:p w14:paraId="0335B30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32" w:name="_Toc16241"/>
      <w:r>
        <w:rPr>
          <w:rFonts w:hint="eastAsia" w:ascii="仿宋_GB2312" w:hAnsi="仿宋_GB2312" w:eastAsia="仿宋_GB2312" w:cs="仿宋_GB2312"/>
          <w:b/>
          <w:sz w:val="28"/>
          <w:szCs w:val="28"/>
          <w:highlight w:val="none"/>
        </w:rPr>
        <w:t>11.1开工</w:t>
      </w:r>
      <w:bookmarkEnd w:id="132"/>
    </w:p>
    <w:p w14:paraId="51E6573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监理人应按合同约定的开工日期在不少于7天前向承包人发出开工通知书，承包人应按合同约定的开工日期开始本工程或按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13.1款约定的单项工程开工日期开始本工程中某单项工程的施工。</w:t>
      </w:r>
    </w:p>
    <w:p w14:paraId="723CFBE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33" w:name="_Toc23240"/>
      <w:r>
        <w:rPr>
          <w:rFonts w:hint="eastAsia" w:ascii="仿宋_GB2312" w:hAnsi="仿宋_GB2312" w:eastAsia="仿宋_GB2312" w:cs="仿宋_GB2312"/>
          <w:b/>
          <w:sz w:val="28"/>
          <w:szCs w:val="28"/>
          <w:highlight w:val="none"/>
        </w:rPr>
        <w:t>11.2开工延期</w:t>
      </w:r>
      <w:bookmarkEnd w:id="133"/>
    </w:p>
    <w:p w14:paraId="15BA69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因自身的原因不能按本合同约定的开工日期开工，应在不少于本合同约定的开工日期前7天，以书面形式向监理人提出开工延期的要求和理由。监理人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p>
    <w:p w14:paraId="5E7B1DE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因发包人的原因造成承包人不能在本合同约定的开工日期开工，监理人应在不少于本合同约定的开工日期前7天，以书面形式通知承包人，延期开工并相应顺延工期。因发包人的原因延期开工给承包人造成损失的，发包人应赔偿承包人损失。</w:t>
      </w:r>
    </w:p>
    <w:p w14:paraId="700714A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⑶按照11.2⑴、⑵款情形确定延期开工后，监理人应在具备开工条件后至少提前7天向承包人发出开工通知书。</w:t>
      </w:r>
    </w:p>
    <w:p w14:paraId="14428286">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34" w:name="_Toc14352"/>
      <w:r>
        <w:rPr>
          <w:rFonts w:hint="eastAsia" w:ascii="仿宋_GB2312" w:hAnsi="仿宋_GB2312" w:eastAsia="仿宋_GB2312" w:cs="仿宋_GB2312"/>
          <w:b/>
          <w:bCs/>
          <w:sz w:val="28"/>
          <w:szCs w:val="28"/>
          <w:highlight w:val="none"/>
        </w:rPr>
        <w:t>12.暂停施工和恢复施工</w:t>
      </w:r>
      <w:bookmarkEnd w:id="134"/>
    </w:p>
    <w:p w14:paraId="7CA3070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35" w:name="_Toc27069"/>
      <w:r>
        <w:rPr>
          <w:rFonts w:hint="eastAsia" w:ascii="仿宋_GB2312" w:hAnsi="仿宋_GB2312" w:eastAsia="仿宋_GB2312" w:cs="仿宋_GB2312"/>
          <w:b/>
          <w:sz w:val="28"/>
          <w:szCs w:val="28"/>
          <w:highlight w:val="none"/>
        </w:rPr>
        <w:t>12.1发包人原因引起的暂停施工</w:t>
      </w:r>
      <w:bookmarkEnd w:id="135"/>
    </w:p>
    <w:p w14:paraId="59196C4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发包人原因引起暂停施工的，监理人经发包人同意后，应及时下达暂停施工指示。情况紧急且监理人未及时下达暂停施工指示的，按照第12.4款〔紧急情况下的暂停施工〕执行。因发包人原因引起的暂停施工，发包人应承担由此增加的费用和（或）延误的工期，并支付承包人合理的利润。</w:t>
      </w:r>
    </w:p>
    <w:p w14:paraId="738ABE8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36" w:name="_Toc12766"/>
      <w:r>
        <w:rPr>
          <w:rFonts w:hint="eastAsia" w:ascii="仿宋_GB2312" w:hAnsi="仿宋_GB2312" w:eastAsia="仿宋_GB2312" w:cs="仿宋_GB2312"/>
          <w:b/>
          <w:sz w:val="28"/>
          <w:szCs w:val="28"/>
          <w:highlight w:val="none"/>
        </w:rPr>
        <w:t>12.2承包人原因引起的暂停施工</w:t>
      </w:r>
      <w:bookmarkEnd w:id="136"/>
    </w:p>
    <w:p w14:paraId="44733CF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因承包人原因引起的暂停施工，承包人应承担由此增加的费用和（或）延误的工期，且承包人在收到监理人复工指示后在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约定的期限内仍未复工的，视为第28.2款〔承包人违约〕第⑺项约定的承包人无法继续履行合同的情形。</w:t>
      </w:r>
    </w:p>
    <w:p w14:paraId="7586FF0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37" w:name="_Toc21746"/>
      <w:r>
        <w:rPr>
          <w:rFonts w:hint="eastAsia" w:ascii="仿宋_GB2312" w:hAnsi="仿宋_GB2312" w:eastAsia="仿宋_GB2312" w:cs="仿宋_GB2312"/>
          <w:b/>
          <w:sz w:val="28"/>
          <w:szCs w:val="28"/>
          <w:highlight w:val="none"/>
        </w:rPr>
        <w:t>12.3指示暂停施工</w:t>
      </w:r>
      <w:bookmarkEnd w:id="137"/>
    </w:p>
    <w:p w14:paraId="47CDF21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监理人认为有必要时，并经发包人批准后，可向承包人作出暂停施工的指示，承包人应按监理人指示暂停施工。</w:t>
      </w:r>
    </w:p>
    <w:p w14:paraId="5DAB27E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38" w:name="_Toc127"/>
      <w:r>
        <w:rPr>
          <w:rFonts w:hint="eastAsia" w:ascii="仿宋_GB2312" w:hAnsi="仿宋_GB2312" w:eastAsia="仿宋_GB2312" w:cs="仿宋_GB2312"/>
          <w:b/>
          <w:sz w:val="28"/>
          <w:szCs w:val="28"/>
          <w:highlight w:val="none"/>
        </w:rPr>
        <w:t>12.4紧急情况下的暂停施工</w:t>
      </w:r>
      <w:bookmarkEnd w:id="138"/>
    </w:p>
    <w:p w14:paraId="1FEF356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30条〔争议解决〕约定处理。</w:t>
      </w:r>
    </w:p>
    <w:p w14:paraId="3296B4F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39" w:name="_Toc27119"/>
      <w:r>
        <w:rPr>
          <w:rFonts w:hint="eastAsia" w:ascii="仿宋_GB2312" w:hAnsi="仿宋_GB2312" w:eastAsia="仿宋_GB2312" w:cs="仿宋_GB2312"/>
          <w:b/>
          <w:sz w:val="28"/>
          <w:szCs w:val="28"/>
          <w:highlight w:val="none"/>
        </w:rPr>
        <w:t>12.5暂停施工后的复工</w:t>
      </w:r>
      <w:bookmarkEnd w:id="139"/>
    </w:p>
    <w:p w14:paraId="4EB5F74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BB6069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承包人无故拖延和拒绝复工的，承包人承担由此增加的费用和（或）延误的工期；因发包人原因无法按时复工的，按照第13.2款〔因发包人原因导致工期延误〕约定办理。</w:t>
      </w:r>
    </w:p>
    <w:p w14:paraId="1ABC459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40" w:name="_Toc10758"/>
      <w:r>
        <w:rPr>
          <w:rFonts w:hint="eastAsia" w:ascii="仿宋_GB2312" w:hAnsi="仿宋_GB2312" w:eastAsia="仿宋_GB2312" w:cs="仿宋_GB2312"/>
          <w:b/>
          <w:sz w:val="28"/>
          <w:szCs w:val="28"/>
          <w:highlight w:val="none"/>
        </w:rPr>
        <w:t>12.6暂停施工期间的工程照管</w:t>
      </w:r>
      <w:bookmarkEnd w:id="140"/>
    </w:p>
    <w:p w14:paraId="4A28777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暂停施工期间，承包人应负责妥善照管工程并提供安全保障，由此增加的费用由责任方承担。</w:t>
      </w:r>
    </w:p>
    <w:p w14:paraId="674D63B0">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41" w:name="_Toc29310"/>
      <w:r>
        <w:rPr>
          <w:rFonts w:hint="eastAsia" w:ascii="仿宋_GB2312" w:hAnsi="仿宋_GB2312" w:eastAsia="仿宋_GB2312" w:cs="仿宋_GB2312"/>
          <w:b/>
          <w:bCs/>
          <w:sz w:val="28"/>
          <w:szCs w:val="28"/>
          <w:highlight w:val="none"/>
        </w:rPr>
        <w:t>13.工期及延误</w:t>
      </w:r>
      <w:bookmarkEnd w:id="141"/>
    </w:p>
    <w:p w14:paraId="2D358AA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42" w:name="_Toc17682"/>
      <w:r>
        <w:rPr>
          <w:rFonts w:hint="eastAsia" w:ascii="仿宋_GB2312" w:hAnsi="仿宋_GB2312" w:eastAsia="仿宋_GB2312" w:cs="仿宋_GB2312"/>
          <w:b/>
          <w:sz w:val="28"/>
          <w:szCs w:val="28"/>
          <w:highlight w:val="none"/>
        </w:rPr>
        <w:t>13.1工期</w:t>
      </w:r>
      <w:bookmarkEnd w:id="142"/>
    </w:p>
    <w:p w14:paraId="3187074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本工程须在本合同协议书中约定的时间内完成，或在根据第13.2款［因发包人原因导致工期延误］约定的延长期限内完成。本工程的任何单项工程须在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约定的各段时间内完成，或在根据第13.2款［因发包人原因导致工期延误］约定的延长期限内完成。</w:t>
      </w:r>
    </w:p>
    <w:p w14:paraId="3A98D38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43" w:name="_Toc14032"/>
      <w:r>
        <w:rPr>
          <w:rFonts w:hint="eastAsia" w:ascii="仿宋_GB2312" w:hAnsi="仿宋_GB2312" w:eastAsia="仿宋_GB2312" w:cs="仿宋_GB2312"/>
          <w:b/>
          <w:sz w:val="28"/>
          <w:szCs w:val="28"/>
          <w:highlight w:val="none"/>
        </w:rPr>
        <w:t>13.2因发包人原因导致工期延误</w:t>
      </w:r>
      <w:bookmarkEnd w:id="143"/>
    </w:p>
    <w:p w14:paraId="64FB5FE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在合同履行过程中，因下列情况导致工期延误和（或）费用增加的，由发包人承担由此延误的工期和（或）增加的费用：</w:t>
      </w:r>
    </w:p>
    <w:p w14:paraId="00F254D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⑴发包人未能按合同约定提供图纸或所提供图纸不符合合同约定的；</w:t>
      </w:r>
    </w:p>
    <w:p w14:paraId="6C58435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⑵发包人未能按合同约定提供施工现场、施工条件、基础资料、许可、批准等开工条件的；</w:t>
      </w:r>
    </w:p>
    <w:p w14:paraId="057B45F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⑶发包人提供的测量基准点、基准线和水准点及其书面资料存在错误或疏漏的；</w:t>
      </w:r>
    </w:p>
    <w:p w14:paraId="15E2185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⑷发包人未能在计划开工日期之日起7天内同意下达开工通知的；</w:t>
      </w:r>
    </w:p>
    <w:p w14:paraId="4308B48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⑸发包人未能按合同约定日期支付工程预付款、进度款或竣工结算款的；</w:t>
      </w:r>
    </w:p>
    <w:p w14:paraId="4F86C87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⑹监理人未按合同约定发出指示、批准等文件的；</w:t>
      </w:r>
    </w:p>
    <w:p w14:paraId="7A7662F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中约定的其他情形。</w:t>
      </w:r>
    </w:p>
    <w:p w14:paraId="40D301B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发包人原因未按计划开工日期开工的，发包人应按实际开工日期顺延竣工日期，确保实际工期不低于合同约定的工期总日历天数。因发包人原因导致工期延误需要修订施工进度计划的，按照第9.3条〔工程进度计划〕对进度计划进行修订。</w:t>
      </w:r>
    </w:p>
    <w:p w14:paraId="2934E5B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44" w:name="_Toc7382"/>
      <w:r>
        <w:rPr>
          <w:rFonts w:ascii="仿宋_GB2312" w:hAnsi="仿宋_GB2312" w:eastAsia="仿宋_GB2312" w:cs="仿宋_GB2312"/>
          <w:b/>
          <w:sz w:val="28"/>
          <w:szCs w:val="28"/>
          <w:highlight w:val="none"/>
        </w:rPr>
        <w:t>13.3因承包人原因导致工期延误</w:t>
      </w:r>
      <w:bookmarkEnd w:id="144"/>
    </w:p>
    <w:p w14:paraId="748C6EA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因承包人原因造成工期延误的，可在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中约定逾期竣工违约金的计算方法和逾期竣工违约金的上限。承包人支付逾期竣工违约金后，不免除承包人继续完成工程及修补缺陷的义务。</w:t>
      </w:r>
    </w:p>
    <w:p w14:paraId="083D6433">
      <w:pPr>
        <w:keepNext w:val="0"/>
        <w:keepLines w:val="0"/>
        <w:pageBreakBefore w:val="0"/>
        <w:widowControl w:val="0"/>
        <w:numPr>
          <w:ilvl w:val="-1"/>
          <w:numId w:val="0"/>
        </w:numPr>
        <w:tabs>
          <w:tab w:val="left" w:pos="540"/>
          <w:tab w:val="left" w:pos="900"/>
        </w:tabs>
        <w:kinsoku/>
        <w:wordWrap/>
        <w:overflowPunct/>
        <w:topLinePunct w:val="0"/>
        <w:autoSpaceDE/>
        <w:autoSpaceDN/>
        <w:bidi w:val="0"/>
        <w:adjustRightInd w:val="0"/>
        <w:snapToGrid w:val="0"/>
        <w:spacing w:line="560" w:lineRule="exact"/>
        <w:ind w:left="0" w:leftChars="0" w:right="0" w:rightChars="0" w:firstLine="0"/>
        <w:jc w:val="left"/>
        <w:textAlignment w:val="auto"/>
        <w:outlineLvl w:val="2"/>
        <w:rPr>
          <w:rFonts w:hint="eastAsia" w:ascii="宋体" w:hAnsi="宋体"/>
          <w:sz w:val="24"/>
          <w:szCs w:val="24"/>
          <w:highlight w:val="none"/>
        </w:rPr>
      </w:pPr>
      <w:bookmarkStart w:id="145" w:name="_Toc4592"/>
      <w:r>
        <w:rPr>
          <w:rFonts w:hint="eastAsia" w:ascii="仿宋_GB2312" w:hAnsi="仿宋_GB2312" w:eastAsia="仿宋_GB2312" w:cs="仿宋_GB2312"/>
          <w:b/>
          <w:sz w:val="28"/>
          <w:szCs w:val="28"/>
          <w:highlight w:val="none"/>
        </w:rPr>
        <w:t>13.</w:t>
      </w:r>
      <w:r>
        <w:rPr>
          <w:rFonts w:ascii="仿宋_GB2312" w:hAnsi="仿宋_GB2312" w:eastAsia="仿宋_GB2312" w:cs="仿宋_GB2312"/>
          <w:b/>
          <w:sz w:val="28"/>
          <w:szCs w:val="28"/>
          <w:highlight w:val="none"/>
        </w:rPr>
        <w:t>4</w:t>
      </w:r>
      <w:bookmarkStart w:id="146" w:name="_Toc305331302"/>
      <w:bookmarkStart w:id="147" w:name="_Toc302635781"/>
      <w:r>
        <w:rPr>
          <w:rFonts w:hint="default" w:ascii="仿宋_GB2312" w:hAnsi="仿宋_GB2312" w:eastAsia="仿宋_GB2312" w:cs="仿宋_GB2312"/>
          <w:bCs w:val="0"/>
          <w:kern w:val="2"/>
          <w:sz w:val="28"/>
          <w:szCs w:val="28"/>
          <w:highlight w:val="none"/>
        </w:rPr>
        <w:t>提前竣工</w:t>
      </w:r>
      <w:bookmarkEnd w:id="145"/>
      <w:bookmarkEnd w:id="146"/>
      <w:bookmarkEnd w:id="147"/>
    </w:p>
    <w:p w14:paraId="422B50ED">
      <w:pPr>
        <w:pageBreakBefore w:val="0"/>
        <w:kinsoku/>
        <w:overflowPunct/>
        <w:topLinePunct w:val="0"/>
        <w:autoSpaceDE/>
        <w:autoSpaceDN/>
        <w:bidi w:val="0"/>
        <w:adjustRightInd w:val="0"/>
        <w:snapToGrid w:val="0"/>
        <w:spacing w:line="560" w:lineRule="exact"/>
        <w:ind w:left="0" w:leftChars="0" w:right="0" w:rightChars="0" w:firstLine="546" w:firstLineChars="195"/>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⑴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76C0750">
      <w:pPr>
        <w:pageBreakBefore w:val="0"/>
        <w:kinsoku/>
        <w:overflowPunct/>
        <w:topLinePunct w:val="0"/>
        <w:autoSpaceDE/>
        <w:autoSpaceDN/>
        <w:bidi w:val="0"/>
        <w:adjustRightInd w:val="0"/>
        <w:snapToGrid w:val="0"/>
        <w:spacing w:line="560" w:lineRule="exact"/>
        <w:ind w:left="0" w:leftChars="0" w:right="0" w:rightChars="0" w:firstLine="546" w:firstLineChars="195"/>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⑵承包人提出提前竣工的，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和承包人协商承担。</w:t>
      </w:r>
    </w:p>
    <w:p w14:paraId="5BE6DD70">
      <w:pPr>
        <w:pageBreakBefore w:val="0"/>
        <w:kinsoku/>
        <w:overflowPunct/>
        <w:topLinePunct w:val="0"/>
        <w:autoSpaceDE/>
        <w:autoSpaceDN/>
        <w:bidi w:val="0"/>
        <w:adjustRightInd w:val="0"/>
        <w:snapToGrid w:val="0"/>
        <w:spacing w:line="560" w:lineRule="exact"/>
        <w:ind w:left="0" w:leftChars="0" w:right="0" w:rightChars="0" w:firstLine="546" w:firstLineChars="195"/>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⑶发包人要求承包人提前竣工，或承包人提出提前竣工的建议能够给发包人带来效益的，承发包双方可以在</w:t>
      </w:r>
      <w:r>
        <w:rPr>
          <w:rFonts w:hint="eastAsia" w:ascii="仿宋_GB2312" w:hAnsi="仿宋_GB2312" w:eastAsia="仿宋_GB2312" w:cs="仿宋_GB2312"/>
          <w:b/>
          <w:bCs/>
          <w:i/>
          <w:iCs/>
          <w:kern w:val="2"/>
          <w:sz w:val="28"/>
          <w:szCs w:val="28"/>
          <w:highlight w:val="none"/>
        </w:rPr>
        <w:t>专用条款</w:t>
      </w:r>
      <w:r>
        <w:rPr>
          <w:rFonts w:hint="eastAsia" w:ascii="仿宋_GB2312" w:hAnsi="仿宋_GB2312" w:eastAsia="仿宋_GB2312" w:cs="仿宋_GB2312"/>
          <w:kern w:val="2"/>
          <w:sz w:val="28"/>
          <w:szCs w:val="28"/>
          <w:highlight w:val="none"/>
        </w:rPr>
        <w:t>中约定提前竣工的奖励。</w:t>
      </w:r>
    </w:p>
    <w:p w14:paraId="254A96FD">
      <w:pPr>
        <w:pageBreakBefore w:val="0"/>
        <w:kinsoku/>
        <w:overflowPunct/>
        <w:topLinePunct w:val="0"/>
        <w:autoSpaceDE/>
        <w:autoSpaceDN/>
        <w:bidi w:val="0"/>
        <w:adjustRightInd w:val="0"/>
        <w:snapToGrid w:val="0"/>
        <w:spacing w:line="560" w:lineRule="exact"/>
        <w:ind w:left="0" w:leftChars="0" w:right="0" w:rightChars="0" w:firstLine="546" w:firstLineChars="195"/>
        <w:jc w:val="lef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ascii="仿宋_GB2312" w:hAnsi="仿宋_GB2312" w:eastAsia="仿宋_GB2312" w:cs="仿宋_GB2312"/>
          <w:b/>
          <w:bCs/>
          <w:i/>
          <w:iCs/>
          <w:kern w:val="2"/>
          <w:sz w:val="28"/>
          <w:szCs w:val="28"/>
          <w:highlight w:val="none"/>
        </w:rPr>
        <w:t>专用条款</w:t>
      </w:r>
      <w:r>
        <w:rPr>
          <w:rFonts w:hint="eastAsia" w:ascii="仿宋_GB2312" w:hAnsi="仿宋_GB2312" w:eastAsia="仿宋_GB2312" w:cs="仿宋_GB2312"/>
          <w:kern w:val="2"/>
          <w:sz w:val="28"/>
          <w:szCs w:val="28"/>
          <w:highlight w:val="none"/>
        </w:rPr>
        <w:t>中约定压缩工期补偿费用计算方法。</w:t>
      </w:r>
    </w:p>
    <w:p w14:paraId="0FD9210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48" w:name="_Toc29264"/>
      <w:r>
        <w:rPr>
          <w:rFonts w:hint="eastAsia" w:ascii="仿宋_GB2312" w:hAnsi="仿宋_GB2312" w:eastAsia="仿宋_GB2312" w:cs="仿宋_GB2312"/>
          <w:b/>
          <w:sz w:val="28"/>
          <w:szCs w:val="28"/>
          <w:highlight w:val="none"/>
          <w:lang w:val="en-US" w:eastAsia="zh-CN"/>
        </w:rPr>
        <w:t>13.5</w:t>
      </w:r>
      <w:r>
        <w:rPr>
          <w:rFonts w:hint="eastAsia" w:ascii="仿宋_GB2312" w:hAnsi="仿宋_GB2312" w:eastAsia="仿宋_GB2312" w:cs="仿宋_GB2312"/>
          <w:b/>
          <w:sz w:val="28"/>
          <w:szCs w:val="28"/>
          <w:highlight w:val="none"/>
        </w:rPr>
        <w:t>工作时间的限制</w:t>
      </w:r>
      <w:bookmarkEnd w:id="148"/>
    </w:p>
    <w:p w14:paraId="4C1282A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在夜间或国家规定的节假日进行永久工程的施工应经监理人的认可，并应遵守当地政府的有关规定或取得有关部门的批准，但是为了抢救生命或保护财产，或为了工程的安全、质量而不可避免的或绝对必要的作业，则不必事先经监理人的许可，但应在事后立即向监理人报告。</w:t>
      </w:r>
    </w:p>
    <w:p w14:paraId="2EF1089D">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49" w:name="_Toc12953"/>
      <w:r>
        <w:rPr>
          <w:rFonts w:hint="eastAsia" w:ascii="仿宋_GB2312" w:hAnsi="仿宋_GB2312" w:eastAsia="仿宋_GB2312" w:cs="仿宋_GB2312"/>
          <w:b/>
          <w:bCs/>
          <w:sz w:val="28"/>
          <w:szCs w:val="28"/>
          <w:highlight w:val="none"/>
        </w:rPr>
        <w:t>14.材料设备的供应和检验</w:t>
      </w:r>
      <w:bookmarkEnd w:id="149"/>
    </w:p>
    <w:p w14:paraId="4222289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0" w:name="_Toc11317"/>
      <w:r>
        <w:rPr>
          <w:rFonts w:hint="eastAsia" w:ascii="仿宋_GB2312" w:hAnsi="仿宋_GB2312" w:eastAsia="仿宋_GB2312" w:cs="仿宋_GB2312"/>
          <w:b/>
          <w:sz w:val="28"/>
          <w:szCs w:val="28"/>
          <w:highlight w:val="none"/>
        </w:rPr>
        <w:t>14.1发包人供应材料设备</w:t>
      </w:r>
      <w:bookmarkEnd w:id="150"/>
    </w:p>
    <w:p w14:paraId="61952B3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⑴发包人供应材料设备的，应在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承包人按照第9.3条〔工程进度计划〕约定修订施工进度计划时，需同时提交经修订后的发包人供应材料与工程设备的进场计划。</w:t>
      </w:r>
    </w:p>
    <w:p w14:paraId="1AE6C27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提前30天通过监理人以书面形式通知发包人供应材料与工程设备进场。发包人在所供材料设备到货前24小时通知承包人，货物运到施工场地后，发包人和承包人双方在监理人的见证下进行验收交接，并按承包人指定的地点和方式堆放。承发包双方完成交验后，发包人仍应对由其提供的材料设备承担有关质量责任。</w:t>
      </w:r>
    </w:p>
    <w:p w14:paraId="4A53F84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⑶发包人对其供应的材料设备履行完毕14.1⑵款约定验交程序，且承包人接收后，由承包人负责保管，因承包人原因发生的丢失、盗失、毁损等由承包人负责赔偿。发包人按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14:paraId="52FC78E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如发包人未履行14.1⑵款约定的验交程序，则承包人不负责保管，发生的丢失、盗失、毁损等由发包人负责，但承包人没有提出异议，且已收取发包人支付的相应保管费用的除外。承包人未按发包人通知要求参加验收的，视为承包人已验收合格，相应的保管责任由承包人承担。</w:t>
      </w:r>
    </w:p>
    <w:p w14:paraId="4474AE7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1" w:name="_Toc13288"/>
      <w:r>
        <w:rPr>
          <w:rFonts w:hint="eastAsia" w:ascii="仿宋_GB2312" w:hAnsi="仿宋_GB2312" w:eastAsia="仿宋_GB2312" w:cs="仿宋_GB2312"/>
          <w:b/>
          <w:sz w:val="28"/>
          <w:szCs w:val="28"/>
          <w:highlight w:val="none"/>
        </w:rPr>
        <w:t>14.2发包人供应材料设备的结算</w:t>
      </w:r>
      <w:bookmarkEnd w:id="151"/>
    </w:p>
    <w:p w14:paraId="6F2A2E4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除非</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中另有约定，本工程发包人供应材料设备按如下方式结算：</w:t>
      </w:r>
    </w:p>
    <w:p w14:paraId="15BBB1A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⑴承包人按发包人要求、竣工图纸和工程造价管理机构发布的相关消耗量定额计算本工程需用的发包人供应材料设备的合理数量，经监理人审核后报发包人确认；</w:t>
      </w:r>
    </w:p>
    <w:p w14:paraId="7BBB095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⑵发包人供应材料设备的结算单价按照发包人通过招标或询价采购等方式确定的材料设备单价计算；</w:t>
      </w:r>
    </w:p>
    <w:p w14:paraId="6E3B281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⑶承包人实际使用发包人供应材料设备的数量超过14.2⑴款确认的合理数量，超出部分的费用由承包人承担；承包人实际使用发包人供应材料设备的数量小于14.2⑴款确认的合理数量，节约的费用按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约定进行分配；</w:t>
      </w:r>
    </w:p>
    <w:p w14:paraId="46B42F1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⑷承包人的投标报价中已包括发包人供应材料设备的场内运输费、安装费，结算时不因发包人供应材料设备单价的变化而调整。</w:t>
      </w:r>
    </w:p>
    <w:p w14:paraId="21484F1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2" w:name="_Toc4969"/>
      <w:r>
        <w:rPr>
          <w:rFonts w:hint="eastAsia" w:ascii="仿宋_GB2312" w:hAnsi="仿宋_GB2312" w:eastAsia="仿宋_GB2312" w:cs="仿宋_GB2312"/>
          <w:b/>
          <w:sz w:val="28"/>
          <w:szCs w:val="28"/>
          <w:highlight w:val="none"/>
        </w:rPr>
        <w:t>14.3发包人供应材料设备承担的责任</w:t>
      </w:r>
      <w:bookmarkEnd w:id="152"/>
    </w:p>
    <w:p w14:paraId="55FB7E8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发包人供应的材料设备与</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14.1(1)发包人供应材料设备清单中的约定不符时，发包人承担相关责任，具体如下：</w:t>
      </w:r>
    </w:p>
    <w:p w14:paraId="00F2571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⑴材料设备单价不符合约定，由发包人承担所有价差；</w:t>
      </w:r>
    </w:p>
    <w:p w14:paraId="097DB47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⑵材料设备的品种、规格、型号、质量等级不符合约定，承包人可拒绝接收、保管，由发包人负责运出施工场地并重新采购；</w:t>
      </w:r>
    </w:p>
    <w:p w14:paraId="214CBB9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⑶材料设备的到货地点不符合约定，由发包人负责运至材料设备清单约定的地点；</w:t>
      </w:r>
    </w:p>
    <w:p w14:paraId="2D948D6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⑷材料设备供应数量不符合约定，多于清单中约定的数量时由发包人负责运出施工场地，少于清单中约定数量时由发包人负责补齐；</w:t>
      </w:r>
    </w:p>
    <w:p w14:paraId="5B87297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⑸材料设备到货交接时间不符合约定，早于约定时间的由发包人承担因此产生的保管费用，迟于约定时间给承包人造成损失和(或)导致工期延误的，发包人应赔偿承包人损失，顺延延误的工期。</w:t>
      </w:r>
    </w:p>
    <w:p w14:paraId="6667A64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3" w:name="_Toc21641"/>
      <w:r>
        <w:rPr>
          <w:rFonts w:hint="eastAsia" w:ascii="仿宋_GB2312" w:hAnsi="仿宋_GB2312" w:eastAsia="仿宋_GB2312" w:cs="仿宋_GB2312"/>
          <w:b/>
          <w:sz w:val="28"/>
          <w:szCs w:val="28"/>
          <w:highlight w:val="none"/>
        </w:rPr>
        <w:t>14.4承包人采购材料设备</w:t>
      </w:r>
      <w:bookmarkEnd w:id="153"/>
    </w:p>
    <w:p w14:paraId="1057EAC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承包人负责采购的材料设备，应符合设计、标准、规范、招标文件、</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要求以及投标文件的承诺，并提供产品质量合格证明，承包人对材料设备质量负责。合同约定由承包人采购的材料、工程设备，发包人不得指定生产厂家或供应商，发包人违反本款约定指定生产厂家或供应商的，承包人有权拒绝。</w:t>
      </w:r>
    </w:p>
    <w:p w14:paraId="22597DB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负责其采购的所有材料设备的包装、运输、接收、装卸、存储和保护，并承担因货物运输引起的民事和(或)刑事责任。承包人应在材料设备到货前24小时通知发包人，双方在监理人的见证下进行联合验收。</w:t>
      </w:r>
    </w:p>
    <w:p w14:paraId="6397815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4" w:name="_Toc26610"/>
      <w:r>
        <w:rPr>
          <w:rFonts w:hint="eastAsia" w:ascii="仿宋_GB2312" w:hAnsi="仿宋_GB2312" w:eastAsia="仿宋_GB2312" w:cs="仿宋_GB2312"/>
          <w:b/>
          <w:sz w:val="28"/>
          <w:szCs w:val="28"/>
          <w:highlight w:val="none"/>
        </w:rPr>
        <w:t>14.5承包人采购材料设备承担的责任</w:t>
      </w:r>
      <w:bookmarkEnd w:id="154"/>
    </w:p>
    <w:p w14:paraId="39454A1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⑴承包人采购的材料设备与14.4款约定的要求不符时，承包人应按监理人要求的时间运出施工场地，重新采购符合要求的材料设备，承担因此产生的费用，由此延误的工期不予顺延。</w:t>
      </w:r>
    </w:p>
    <w:p w14:paraId="71B854A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⑵承包人使用了不符合14.4款约定要求的材料设备，则应按监理人的指令负责修复、拆除或重新采购，并承担因此产生的费用，由此延误的工期不予顺延。</w:t>
      </w:r>
    </w:p>
    <w:p w14:paraId="59BB30E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5" w:name="_Toc2120"/>
      <w:r>
        <w:rPr>
          <w:rFonts w:hint="eastAsia" w:ascii="仿宋_GB2312" w:hAnsi="仿宋_GB2312" w:eastAsia="仿宋_GB2312" w:cs="仿宋_GB2312"/>
          <w:b/>
          <w:sz w:val="28"/>
          <w:szCs w:val="28"/>
          <w:highlight w:val="none"/>
        </w:rPr>
        <w:t>14.6材料和工程设备的替代</w:t>
      </w:r>
      <w:bookmarkEnd w:id="155"/>
    </w:p>
    <w:p w14:paraId="27C771F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⑴出现下列情况需要使用替代材料和工程设备的，承包人应按照第14.6.(2)项约定的程序执行：</w:t>
      </w:r>
    </w:p>
    <w:p w14:paraId="306A909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①基准日期后生效的法律规定禁止使用的；</w:t>
      </w:r>
    </w:p>
    <w:p w14:paraId="3C127D3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②发包人要求使用替代品的；</w:t>
      </w:r>
    </w:p>
    <w:p w14:paraId="6427E21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③因其他原因必须使用替代品的。</w:t>
      </w:r>
    </w:p>
    <w:p w14:paraId="33C092E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⑵承包人需要使用替代材料设备应在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约定的时限前向监理人提出申请，监理人应在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限内发书面指示报发包人，监理人逾期发出书面指示的，视为发包人和监理人同意使用替代品。替代材料设备的品质、标准、性能不能低于被替代材料，因此增减的合同价格和产生的费用的承担，承发包双方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w:t>
      </w:r>
    </w:p>
    <w:p w14:paraId="7E8C8C3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6" w:name="_Toc15049"/>
      <w:r>
        <w:rPr>
          <w:rFonts w:hint="eastAsia" w:ascii="仿宋_GB2312" w:hAnsi="仿宋_GB2312" w:eastAsia="仿宋_GB2312" w:cs="仿宋_GB2312"/>
          <w:b/>
          <w:sz w:val="28"/>
          <w:szCs w:val="28"/>
          <w:highlight w:val="none"/>
        </w:rPr>
        <w:t>14.7材料设备的检验</w:t>
      </w:r>
      <w:bookmarkEnd w:id="156"/>
    </w:p>
    <w:p w14:paraId="7565DAE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⑴本工程一切材料设备在用于本工程之前，均应按照法律、法规、规章和有关标准、规范的规定以及</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约定的检验时间和地点、取样办法、检验频次和内容等要求，在监理人的监督、见证下，由承包人负责取样并送</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指定的检验机构进行检验，不合格的不得使用。</w:t>
      </w:r>
    </w:p>
    <w:p w14:paraId="3840D4E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⑵拟用于本工程的材料设备应当经检验合格后使用。发包人供应的材料设备的检验费用由发包人承担；承包人采购的材料设备检验费用由承包人承担。</w:t>
      </w:r>
    </w:p>
    <w:p w14:paraId="483C01E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对具有出厂合格证明材料设备的检验，构件的破坏性检验、其他特殊要求的检验及发包人委托检测机构进行的检测，如经检验合格的，检验费用由发包人承担；若检验不合格且为承包人采购的材料设备，检验费用由承包人承担。</w:t>
      </w:r>
    </w:p>
    <w:p w14:paraId="5FF2CE7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7" w:name="_Toc16173"/>
      <w:r>
        <w:rPr>
          <w:rFonts w:hint="eastAsia" w:ascii="仿宋_GB2312" w:hAnsi="仿宋_GB2312" w:eastAsia="仿宋_GB2312" w:cs="仿宋_GB2312"/>
          <w:b/>
          <w:sz w:val="28"/>
          <w:szCs w:val="28"/>
          <w:highlight w:val="none"/>
        </w:rPr>
        <w:t>14.8材料设备的再次检验和随时检查</w:t>
      </w:r>
      <w:bookmarkEnd w:id="157"/>
    </w:p>
    <w:p w14:paraId="3FC350D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如监理人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p>
    <w:p w14:paraId="35BA5B9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⑵监理人在一切合理的时间内均应能进入施工现场以及半成品的制造、加工或制配的所有车间和场所，承包人应为其进入上述场所提供便利和协助。</w:t>
      </w:r>
    </w:p>
    <w:p w14:paraId="7030C109">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58" w:name="_Toc6906"/>
      <w:r>
        <w:rPr>
          <w:rFonts w:hint="eastAsia" w:ascii="仿宋_GB2312" w:hAnsi="仿宋_GB2312" w:eastAsia="仿宋_GB2312" w:cs="仿宋_GB2312"/>
          <w:b/>
          <w:bCs/>
          <w:sz w:val="28"/>
          <w:szCs w:val="28"/>
          <w:highlight w:val="none"/>
        </w:rPr>
        <w:t>15.工程质量和检测</w:t>
      </w:r>
      <w:bookmarkEnd w:id="158"/>
    </w:p>
    <w:p w14:paraId="2230D3C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59" w:name="_Toc22165"/>
      <w:r>
        <w:rPr>
          <w:rFonts w:hint="eastAsia" w:ascii="仿宋_GB2312" w:hAnsi="仿宋_GB2312" w:eastAsia="仿宋_GB2312" w:cs="仿宋_GB2312"/>
          <w:b/>
          <w:sz w:val="28"/>
          <w:szCs w:val="28"/>
          <w:highlight w:val="none"/>
        </w:rPr>
        <w:t>15.1工程质量</w:t>
      </w:r>
      <w:bookmarkEnd w:id="159"/>
    </w:p>
    <w:p w14:paraId="39B5320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⑴工程质量应达到本合同协议书中约定的质量标准，工程质量标准的评定应以本合同约定的标准、规范为依据，合同没有约定的，以国家或行业的质量检验评定标准为依据。</w:t>
      </w:r>
    </w:p>
    <w:p w14:paraId="2C1CAFD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⑵承包人应建立质量保证体系，监理人有权对体系的任何方面进行审查。遵守质量保证体系不应解除合同约定的承包人的任何义务和职责。</w:t>
      </w:r>
    </w:p>
    <w:p w14:paraId="1CBBCD4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⑶因发包人原因造成工程质量未达到合同约定标准的，由发包人承担由此增加的费用和（或）延误的工期。</w:t>
      </w:r>
    </w:p>
    <w:p w14:paraId="62FB695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⑷因承包人原因造成工程质量未达到合同约定标准的，发包人有权要求承包人返工直至工程质量达到合同约定的标准为止，并由承包人承担由此增加的费用和（或）延误的工期。</w:t>
      </w:r>
    </w:p>
    <w:p w14:paraId="770763E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0" w:name="_Toc22765"/>
      <w:r>
        <w:rPr>
          <w:rFonts w:hint="eastAsia" w:ascii="仿宋_GB2312" w:hAnsi="仿宋_GB2312" w:eastAsia="仿宋_GB2312" w:cs="仿宋_GB2312"/>
          <w:b/>
          <w:sz w:val="28"/>
          <w:szCs w:val="28"/>
          <w:highlight w:val="none"/>
        </w:rPr>
        <w:t>15.2发包人质量控制责任</w:t>
      </w:r>
      <w:bookmarkEnd w:id="160"/>
    </w:p>
    <w:p w14:paraId="69D434A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发包人应按照法律规定及合同约定完成与工程质量有关的各项工作，其职责包括但不限于下列内容：</w:t>
      </w:r>
    </w:p>
    <w:p w14:paraId="0DB2BE1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⑴向有关的勘察、设计、施工、工程监理等单位提供与建设工程有关的原始资料。原始资料必须真实、准确、齐全。</w:t>
      </w:r>
    </w:p>
    <w:p w14:paraId="25F2859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⑵不得迫使承包方以低于成本的价格竞标，不得任意压缩合理工期。</w:t>
      </w:r>
    </w:p>
    <w:p w14:paraId="5307B62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⑶将施工图设计文件报建设行政主管部门或者其他有关部门审查。施工图设计文件未经审查批准的，不得使用。</w:t>
      </w:r>
    </w:p>
    <w:p w14:paraId="404985F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⑷按照合同约定，由发包人采购材料、设备的，应保证其符合设计文件和合同要求。</w:t>
      </w:r>
    </w:p>
    <w:p w14:paraId="0652976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⑸收到建设工程竣工报告后，组织设计、施工、工程监理等有关单位进行竣工验收。经验收合格的，方可交付使用。</w:t>
      </w:r>
    </w:p>
    <w:p w14:paraId="2F064A0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⑹应严格按照国家有关档案管理的规定，及时收集、整理建设项目各环节的文件资料，建立、健全建设项目档案，并在建设工程竣工验收后，及时向建设行政主管部门或者其他有关部门移交建设项目档案。</w:t>
      </w:r>
    </w:p>
    <w:p w14:paraId="3A79356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1" w:name="_Toc3038"/>
      <w:r>
        <w:rPr>
          <w:rFonts w:hint="eastAsia" w:ascii="仿宋_GB2312" w:hAnsi="仿宋_GB2312" w:eastAsia="仿宋_GB2312" w:cs="仿宋_GB2312"/>
          <w:b/>
          <w:sz w:val="28"/>
          <w:szCs w:val="28"/>
          <w:highlight w:val="none"/>
        </w:rPr>
        <w:t>15.3承包人质量控制责任</w:t>
      </w:r>
      <w:bookmarkEnd w:id="161"/>
    </w:p>
    <w:p w14:paraId="24BB7EA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承包人就本工程的工程质量向发包人负责，其职责包括但不限于下列内容：</w:t>
      </w:r>
    </w:p>
    <w:p w14:paraId="66B333E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⑴编制和审查施工技术方案，确定特殊工程的施工技术措施，制定工程质量保证体系；</w:t>
      </w:r>
    </w:p>
    <w:p w14:paraId="454B428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⑵提供和组织足够的工程质量控制和检测人员，检查和控制工程施工质量；</w:t>
      </w:r>
    </w:p>
    <w:p w14:paraId="725B557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⑶控制施工所用的材料、设备，包括承包人、分包人采购的材料、设备，使其不低于标准、规范、设计文件和合同约定的标准；</w:t>
      </w:r>
    </w:p>
    <w:p w14:paraId="2FDDF37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⑷参加所有工程的验收工作，包括隐蔽验收、中间验收和竣工验收，并组织分包人参加工程竣工验收；</w:t>
      </w:r>
    </w:p>
    <w:p w14:paraId="7D4F1BA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⑸负责组织分包人共同承担缺陷责任期的工程保修责任</w:t>
      </w:r>
      <w:r>
        <w:rPr>
          <w:rFonts w:hint="default" w:ascii="仿宋_GB2312" w:hAnsi="仿宋_GB2312" w:eastAsia="仿宋_GB2312" w:cs="仿宋_GB2312"/>
          <w:sz w:val="28"/>
          <w:szCs w:val="28"/>
          <w:highlight w:val="none"/>
          <w:lang w:val="en-US"/>
        </w:rPr>
        <w:t>;</w:t>
      </w:r>
    </w:p>
    <w:p w14:paraId="32152B8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w:t>
      </w:r>
      <w:r>
        <w:rPr>
          <w:rFonts w:hint="default" w:ascii="仿宋_GB2312" w:hAnsi="仿宋_GB2312" w:eastAsia="仿宋_GB2312" w:cs="仿宋_GB2312"/>
          <w:sz w:val="28"/>
          <w:szCs w:val="28"/>
          <w:highlight w:val="none"/>
          <w:lang w:val="en-US"/>
        </w:rPr>
        <w:t>6)</w:t>
      </w:r>
      <w:r>
        <w:rPr>
          <w:rFonts w:hint="default" w:ascii="仿宋_GB2312" w:hAnsi="仿宋_GB2312" w:eastAsia="仿宋_GB2312" w:cs="仿宋_GB2312"/>
          <w:sz w:val="28"/>
          <w:szCs w:val="28"/>
          <w:highlight w:val="none"/>
        </w:rPr>
        <w:t>按照有关信息化管理的要求，在深圳市质量安全监管职能平台及时上传、报送有关质量检查、监测和整改情况</w:t>
      </w:r>
      <w:r>
        <w:rPr>
          <w:rFonts w:hint="eastAsia" w:ascii="仿宋_GB2312" w:hAnsi="仿宋_GB2312" w:eastAsia="仿宋_GB2312" w:cs="仿宋_GB2312"/>
          <w:sz w:val="28"/>
          <w:szCs w:val="28"/>
          <w:highlight w:val="none"/>
          <w:lang w:eastAsia="zh-CN"/>
        </w:rPr>
        <w:t>。</w:t>
      </w:r>
    </w:p>
    <w:p w14:paraId="5414818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2" w:name="_Toc30927"/>
      <w:r>
        <w:rPr>
          <w:rFonts w:hint="eastAsia" w:ascii="仿宋_GB2312" w:hAnsi="仿宋_GB2312" w:eastAsia="仿宋_GB2312" w:cs="仿宋_GB2312"/>
          <w:b/>
          <w:sz w:val="28"/>
          <w:szCs w:val="28"/>
          <w:highlight w:val="none"/>
        </w:rPr>
        <w:t>15.4监理人质量控制责任</w:t>
      </w:r>
      <w:bookmarkEnd w:id="162"/>
    </w:p>
    <w:p w14:paraId="4E204BD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监理人应按照法律规定及合同约定完成与工程质量有关的各项工作，其职责包括但不限于下列内容：</w:t>
      </w:r>
    </w:p>
    <w:p w14:paraId="335CF44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1E75FE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⑵监理人的检查和检验影响施工正常进行的，且经检查检验不合格的，影响正常施工的费用由承包人承担，工期不予顺延；经检查检验合格的，由此增加的费用和（或）延误的工期由发包人承担。</w:t>
      </w:r>
    </w:p>
    <w:p w14:paraId="2563D87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3" w:name="_Toc17824"/>
      <w:r>
        <w:rPr>
          <w:rFonts w:hint="eastAsia" w:ascii="仿宋_GB2312" w:hAnsi="仿宋_GB2312" w:eastAsia="仿宋_GB2312" w:cs="仿宋_GB2312"/>
          <w:b/>
          <w:sz w:val="28"/>
          <w:szCs w:val="28"/>
          <w:highlight w:val="none"/>
        </w:rPr>
        <w:t>15.5工程隐蔽前的检测</w:t>
      </w:r>
      <w:bookmarkEnd w:id="163"/>
    </w:p>
    <w:p w14:paraId="6C9F847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⑴承包人应当对工程隐蔽部位进行自检，并经自检确认是否具备覆盖条件。</w:t>
      </w:r>
    </w:p>
    <w:p w14:paraId="76D42E1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没有监理人的批准，任何工程均不得隐蔽。当本工程任何部分具备隐蔽条件时，承包人应提前24小时通知监理人，告知检测的时间、内容和地点，保证监理人有充分的时间对隐蔽工程进行检测，并为监理人提供一切必要的资料和协助。监理人应按时参加隐蔽工程的检测，不得无故拖延，除非认为没有必要检测，并就此通知承包人。监理人在组织隐蔽工程验收时，应通知发包人及政府有关部门派人参加。</w:t>
      </w:r>
    </w:p>
    <w:p w14:paraId="478BC3D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无论监理人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监理人的指令重新施工，直到检测合格，并承担由此发生的全部费用，工期不予顺延。</w:t>
      </w:r>
    </w:p>
    <w:p w14:paraId="0954207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14:paraId="3A34195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164" w:name="_Hlk4714583"/>
      <w:r>
        <w:rPr>
          <w:rFonts w:hint="eastAsia" w:ascii="仿宋_GB2312" w:hAnsi="仿宋_GB2312" w:eastAsia="仿宋_GB2312" w:cs="仿宋_GB2312"/>
          <w:sz w:val="28"/>
          <w:szCs w:val="28"/>
          <w:highlight w:val="none"/>
        </w:rPr>
        <w:t>⑸承包人未通知监理人到场检查，私自将工程隐蔽部位覆盖的，监理人有权指示承包人钻孔探测或揭开检查，无论工程隐蔽部位质量是否合格，由此增加的费用和（或）延误的工期均由承包人承担。</w:t>
      </w:r>
    </w:p>
    <w:bookmarkEnd w:id="164"/>
    <w:p w14:paraId="4413156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5" w:name="_Toc30069"/>
      <w:r>
        <w:rPr>
          <w:rFonts w:hint="eastAsia" w:ascii="仿宋_GB2312" w:hAnsi="仿宋_GB2312" w:eastAsia="仿宋_GB2312" w:cs="仿宋_GB2312"/>
          <w:b/>
          <w:sz w:val="28"/>
          <w:szCs w:val="28"/>
          <w:highlight w:val="none"/>
        </w:rPr>
        <w:t>15.6防水检测</w:t>
      </w:r>
      <w:bookmarkEnd w:id="165"/>
    </w:p>
    <w:p w14:paraId="69D626D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14:paraId="61DCBC0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6" w:name="_Toc28555"/>
      <w:r>
        <w:rPr>
          <w:rFonts w:hint="eastAsia" w:ascii="仿宋_GB2312" w:hAnsi="仿宋_GB2312" w:eastAsia="仿宋_GB2312" w:cs="仿宋_GB2312"/>
          <w:b/>
          <w:sz w:val="28"/>
          <w:szCs w:val="28"/>
          <w:highlight w:val="none"/>
        </w:rPr>
        <w:t>15.7工程质量检测费用</w:t>
      </w:r>
      <w:bookmarkEnd w:id="166"/>
    </w:p>
    <w:p w14:paraId="10357E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工程质量检验检测项目在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中约定，检测费用由发包人承担。因承包人原因导致检测结果不合格的，承包人承担本次检测的所有检测费用，并无偿返工、负责修复。</w:t>
      </w:r>
    </w:p>
    <w:p w14:paraId="1FC3395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7" w:name="_Toc16181"/>
      <w:r>
        <w:rPr>
          <w:rFonts w:hint="eastAsia" w:ascii="仿宋_GB2312" w:hAnsi="仿宋_GB2312" w:eastAsia="仿宋_GB2312" w:cs="仿宋_GB2312"/>
          <w:b/>
          <w:sz w:val="28"/>
          <w:szCs w:val="28"/>
          <w:highlight w:val="none"/>
        </w:rPr>
        <w:t>15.8质量争议检测</w:t>
      </w:r>
      <w:bookmarkEnd w:id="167"/>
    </w:p>
    <w:p w14:paraId="3365027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承发包双方对工程质量有争议的，由双方协商确定的工程质量检测机构鉴定，由此产生的费用及因此造成的损失，由责任方承担。承发包双方均有责任的，由双方根据其责任分别承担。</w:t>
      </w:r>
    </w:p>
    <w:p w14:paraId="0A9E6829">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68" w:name="_Toc18021"/>
      <w:r>
        <w:rPr>
          <w:rFonts w:hint="eastAsia" w:ascii="仿宋_GB2312" w:hAnsi="仿宋_GB2312" w:eastAsia="仿宋_GB2312" w:cs="仿宋_GB2312"/>
          <w:b/>
          <w:bCs/>
          <w:sz w:val="28"/>
          <w:szCs w:val="28"/>
          <w:highlight w:val="none"/>
        </w:rPr>
        <w:t>16.工程试运行</w:t>
      </w:r>
      <w:bookmarkEnd w:id="168"/>
    </w:p>
    <w:p w14:paraId="57BEA8E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69" w:name="_Toc32379"/>
      <w:r>
        <w:rPr>
          <w:rFonts w:hint="eastAsia" w:ascii="仿宋_GB2312" w:hAnsi="仿宋_GB2312" w:eastAsia="仿宋_GB2312" w:cs="仿宋_GB2312"/>
          <w:b/>
          <w:sz w:val="28"/>
          <w:szCs w:val="28"/>
          <w:highlight w:val="none"/>
        </w:rPr>
        <w:t>16.1工程试运行内容和程序</w:t>
      </w:r>
      <w:bookmarkEnd w:id="169"/>
    </w:p>
    <w:p w14:paraId="6441189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如发包人和承包人约定本工程需要试运行的，双方在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中约定试运行的内容和费用承担。本工程试运行应按如下程序进行：</w:t>
      </w:r>
    </w:p>
    <w:p w14:paraId="36932D8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设备安装工程具备单机无负荷试运行条件，承包人组织试运行，并在试运行前48小时通知监理人，告知试运行的时间、内容和地点。承包人准备试运行记录，发包人应为试运行提供必要条件。监理人应按时参加试运行，试运行合格，监理人在试运行记录上签字。如在上述约定时间后12小时内，监理人未能到场参加试运行，承包人可自行试运行，事后监理人应认可承包人所作的试运行记录。</w:t>
      </w:r>
    </w:p>
    <w:p w14:paraId="0DADAEB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设备安装工程具备无负荷联动试运行条件，发包人组织试运行，并在试运行前48小时通知承包人，告知试运行的时间、内容、地点和对承包人的要求，承包人按要求做好准备工作。试运行合格，双方在试运行记录上签字。</w:t>
      </w:r>
    </w:p>
    <w:p w14:paraId="25F8D25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⑶投料试运行应在工程竣工验收后由发包人负责，如发包人要求在工程竣工验收前进行或需要承包人配合时，应征得承包人同意，并另行签订补充协议。</w:t>
      </w:r>
    </w:p>
    <w:p w14:paraId="640BEF8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0" w:name="_Toc7353"/>
      <w:bookmarkStart w:id="171" w:name="_Hlk534190373"/>
      <w:r>
        <w:rPr>
          <w:rFonts w:hint="eastAsia" w:ascii="仿宋_GB2312" w:hAnsi="仿宋_GB2312" w:eastAsia="仿宋_GB2312" w:cs="仿宋_GB2312"/>
          <w:b/>
          <w:sz w:val="28"/>
          <w:szCs w:val="28"/>
          <w:highlight w:val="none"/>
        </w:rPr>
        <w:t>16.2工程试运行中双方的责任</w:t>
      </w:r>
      <w:bookmarkEnd w:id="170"/>
    </w:p>
    <w:bookmarkEnd w:id="171"/>
    <w:p w14:paraId="332F410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⑴由于设计原因试运行达不到验收要求，发包人应要求设计人修改设计，承包人按修改后的设计重新安装。发包人承担修改、拆除及重新安装的费用，工期相应顺延。</w:t>
      </w:r>
    </w:p>
    <w:p w14:paraId="2B9DFBE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14:paraId="7FB7865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⑶由于承包人施工原因试运行达不到验收要求，承包人应按监理人要求重新安装和试运行，并承担有关费用，工期不予顺延。</w:t>
      </w:r>
    </w:p>
    <w:p w14:paraId="2777117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⑷监理人在试运行合格后不在试运行记录上签字，试运行结束24小时后，视为监理人已认可试运行记录，承包人可继续施工或办理竣工手续。</w:t>
      </w:r>
    </w:p>
    <w:p w14:paraId="2E45B5D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⑸试运行费用除已包括在签约合同价之内的或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另有约定的，均由发包人承担。</w:t>
      </w:r>
    </w:p>
    <w:p w14:paraId="5FE7F16D">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72" w:name="_Toc8239"/>
      <w:r>
        <w:rPr>
          <w:rFonts w:hint="eastAsia" w:ascii="仿宋_GB2312" w:hAnsi="仿宋_GB2312" w:eastAsia="仿宋_GB2312" w:cs="仿宋_GB2312"/>
          <w:b/>
          <w:bCs/>
          <w:sz w:val="28"/>
          <w:szCs w:val="28"/>
          <w:highlight w:val="none"/>
        </w:rPr>
        <w:t>17.安全文明施工与环境保护</w:t>
      </w:r>
      <w:bookmarkEnd w:id="172"/>
    </w:p>
    <w:p w14:paraId="08DCE08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3" w:name="_Toc9779"/>
      <w:r>
        <w:rPr>
          <w:rFonts w:hint="eastAsia" w:ascii="仿宋_GB2312" w:hAnsi="仿宋_GB2312" w:eastAsia="仿宋_GB2312" w:cs="仿宋_GB2312"/>
          <w:b/>
          <w:sz w:val="28"/>
          <w:szCs w:val="28"/>
          <w:highlight w:val="none"/>
        </w:rPr>
        <w:t>17.1发包人的安全文明施工责任</w:t>
      </w:r>
      <w:bookmarkEnd w:id="173"/>
    </w:p>
    <w:p w14:paraId="3C46624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⑴发包人应按照深圳市建设行政主管部门发布的施工安全文明施工措施费清单管理与支付办法，编制安全文明施工措施费清单并向承包人按时足额支付安全文明措施费。</w:t>
      </w:r>
    </w:p>
    <w:p w14:paraId="124770D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⑵发包人应督促承包人落实安全文明施工标准化管理的相关措施和要求，对安全文明施工措施费的专款专用进行核查。</w:t>
      </w:r>
    </w:p>
    <w:p w14:paraId="437EAB0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发包人应对其在施工现场的工作人员进行安全教育，并对他们的安全负责。</w:t>
      </w:r>
    </w:p>
    <w:p w14:paraId="65BC38D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⑷发包人不得要求承包人违反安全文明施工的规定进行施工。</w:t>
      </w:r>
    </w:p>
    <w:p w14:paraId="39880AF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⑸由于发包人原因造成的安全事故，由发包人承担相应责任及发生的费用，并顺延延误的工期。</w:t>
      </w:r>
    </w:p>
    <w:p w14:paraId="16EC962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⑹</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约定的安全文明施工责任。</w:t>
      </w:r>
    </w:p>
    <w:p w14:paraId="26BFDC5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4" w:name="_Toc8740"/>
      <w:r>
        <w:rPr>
          <w:rFonts w:hint="eastAsia" w:ascii="仿宋_GB2312" w:hAnsi="仿宋_GB2312" w:eastAsia="仿宋_GB2312" w:cs="仿宋_GB2312"/>
          <w:b/>
          <w:sz w:val="28"/>
          <w:szCs w:val="28"/>
          <w:highlight w:val="none"/>
        </w:rPr>
        <w:t>17.2承包人的安全文明施工责任</w:t>
      </w:r>
      <w:bookmarkEnd w:id="174"/>
    </w:p>
    <w:p w14:paraId="0456CF9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遵守有关工程建设安全生产及文明施工的标准和规定，按照发包人提供的安全文明施工措施费清单，制定合理的安全文明施工措施和方案，并以书面形式提交给监理人。对监理人要求需采取特殊安全防护措施的分项工程施工前，应编制专项安全施工组织设计，并采取安全技术措施；报请监理人和发包人批准后，方可施工。</w:t>
      </w:r>
    </w:p>
    <w:p w14:paraId="1351D30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按照安全文明施工标准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监理人、发包人和建设行政主管部门反映情况。</w:t>
      </w:r>
    </w:p>
    <w:p w14:paraId="54EAA51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施工现场应配置必要的安全、文明施工设施与保护器材，设立安全警告标志牌，并为施工现场人员(包括发包人代表、监理人人员)提供必要的安全防护和劳动保护用品。施工作业人员未经安全生产教育培训，不得上岗作业。承包人有责任管制无关人员进入施工现场。</w:t>
      </w:r>
    </w:p>
    <w:p w14:paraId="55915D4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14:paraId="4B85A6E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发生重大伤亡及其他安全事故，承包人应通知监理人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14:paraId="4EAFDF0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⑹承包人有责任维护发包人的社会形象，避免由于施工引起安全、文明施工和环境保护(如噪音、粉尘、排污等)问题而造成对发包人的索赔。由于上述问题造成的索赔由承包人承担全部责任。</w:t>
      </w:r>
    </w:p>
    <w:p w14:paraId="007072E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⑺在施工过程中，如遇到突发的地质变动、事先未知的地下施工障碍等影响施工安全的紧急情况，承包人应及时报告监理人和发包人，按相关部门要求采取应急措施。</w:t>
      </w:r>
    </w:p>
    <w:p w14:paraId="0CB5B37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约定的安全文明施工责任。</w:t>
      </w:r>
    </w:p>
    <w:p w14:paraId="14E3620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5" w:name="_Toc1735"/>
      <w:r>
        <w:rPr>
          <w:rFonts w:hint="eastAsia" w:ascii="仿宋_GB2312" w:hAnsi="仿宋_GB2312" w:eastAsia="仿宋_GB2312" w:cs="仿宋_GB2312"/>
          <w:b/>
          <w:sz w:val="28"/>
          <w:szCs w:val="28"/>
          <w:highlight w:val="none"/>
        </w:rPr>
        <w:t>17.3监理人对安全文明的监督</w:t>
      </w:r>
      <w:bookmarkEnd w:id="175"/>
    </w:p>
    <w:p w14:paraId="71D2822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监理人应当对承包人落实施工现场安全文明措施情况进行现场监督。对承包人已经落实的安全文明措施，监理人应当及时审查确认。监理人发现承包人未落实施工组织设计及专项施工方案中安全防护和文明施工措施的，有权责令其立即整改，承包人拒不整改或未按期限要求完成整改的，监理人应当及时向发包人和建设行政主管部门报告，必要时责令其暂停施工。</w:t>
      </w:r>
    </w:p>
    <w:p w14:paraId="49AD2B4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6" w:name="_Toc2089"/>
      <w:r>
        <w:rPr>
          <w:rFonts w:hint="eastAsia" w:ascii="仿宋_GB2312" w:hAnsi="仿宋_GB2312" w:eastAsia="仿宋_GB2312" w:cs="仿宋_GB2312"/>
          <w:b/>
          <w:sz w:val="28"/>
          <w:szCs w:val="28"/>
          <w:highlight w:val="none"/>
        </w:rPr>
        <w:t>17.4安全文明措施费的专款专用</w:t>
      </w:r>
      <w:bookmarkEnd w:id="176"/>
    </w:p>
    <w:p w14:paraId="2E853AE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⑴承包人应确保施工现场安全文明措施费专款专用，在财务管理中单独列出安全文明措施项目费用清单及金额备查，并设立单独的安全文明措施费银行账户，接受发包人的监管。</w:t>
      </w:r>
    </w:p>
    <w:p w14:paraId="0C1A6B5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⑵承包人应当按照分包合同约定及时向分包人支付施工现场安全文明措施费。承包人不按约定支付费用，造成分包人不能及时落实安全防护措施导致发生事故的，由承包人负主要责任。</w:t>
      </w:r>
    </w:p>
    <w:p w14:paraId="0DBC014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7" w:name="_Toc3085"/>
      <w:r>
        <w:rPr>
          <w:rFonts w:hint="eastAsia" w:ascii="仿宋_GB2312" w:hAnsi="仿宋_GB2312" w:eastAsia="仿宋_GB2312" w:cs="仿宋_GB2312"/>
          <w:b/>
          <w:sz w:val="28"/>
          <w:szCs w:val="28"/>
          <w:highlight w:val="none"/>
        </w:rPr>
        <w:t>17.5承包人的安全防护和现场作业</w:t>
      </w:r>
      <w:bookmarkEnd w:id="177"/>
    </w:p>
    <w:p w14:paraId="0AAEE5D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BDAF91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在动力设备、输电线路、地下管道、密封防震车间、易燃易爆地段、临街交通要道附近、放射毒害性环境中施工以及实施爆破作业、使用毒害性腐蚀性物品施工时，施工前应向监理人提出安全防护措施，经监理人认可后实施，由发包人承担相应安全防护措施费用。</w:t>
      </w:r>
    </w:p>
    <w:p w14:paraId="4B87F98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⑶承包人应将其作业限制在现场内。在施工期间，承包人应保持现场没有障碍物，妥善存放和处理材料设备和承包人装备，及时从现场清除并运走任何残物、垃圾和不再需要的临时工程。</w:t>
      </w:r>
    </w:p>
    <w:p w14:paraId="73ABDE6D">
      <w:pPr>
        <w:keepNext/>
        <w:keepLines/>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_GB2312" w:hAnsi="仿宋_GB2312" w:eastAsia="仿宋_GB2312" w:cs="仿宋_GB2312"/>
          <w:b w:val="0"/>
          <w:kern w:val="2"/>
          <w:sz w:val="28"/>
          <w:szCs w:val="28"/>
          <w:highlight w:val="none"/>
        </w:rPr>
      </w:pPr>
      <w:r>
        <w:rPr>
          <w:rFonts w:hint="eastAsia" w:ascii="仿宋_GB2312" w:hAnsi="仿宋_GB2312" w:eastAsia="仿宋_GB2312" w:cs="仿宋_GB2312"/>
          <w:b w:val="0"/>
          <w:kern w:val="2"/>
          <w:sz w:val="28"/>
          <w:szCs w:val="28"/>
          <w:highlight w:val="none"/>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14:paraId="30E5016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8" w:name="_Toc26228"/>
      <w:r>
        <w:rPr>
          <w:rFonts w:hint="eastAsia" w:ascii="仿宋_GB2312" w:hAnsi="仿宋_GB2312" w:eastAsia="仿宋_GB2312" w:cs="仿宋_GB2312"/>
          <w:b/>
          <w:sz w:val="28"/>
          <w:szCs w:val="28"/>
          <w:highlight w:val="none"/>
        </w:rPr>
        <w:t>17.6紧急情况处理</w:t>
      </w:r>
      <w:bookmarkEnd w:id="178"/>
    </w:p>
    <w:p w14:paraId="75A13A9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AC7B41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79" w:name="_Toc27255"/>
      <w:r>
        <w:rPr>
          <w:rFonts w:hint="eastAsia" w:ascii="仿宋_GB2312" w:hAnsi="仿宋_GB2312" w:eastAsia="仿宋_GB2312" w:cs="仿宋_GB2312"/>
          <w:b/>
          <w:sz w:val="28"/>
          <w:szCs w:val="28"/>
          <w:highlight w:val="none"/>
        </w:rPr>
        <w:t>17.7事故处理</w:t>
      </w:r>
      <w:bookmarkEnd w:id="179"/>
    </w:p>
    <w:p w14:paraId="104A24E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727F5F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80" w:name="_Toc5239"/>
      <w:r>
        <w:rPr>
          <w:rFonts w:hint="eastAsia" w:ascii="仿宋_GB2312" w:hAnsi="仿宋_GB2312" w:eastAsia="仿宋_GB2312" w:cs="仿宋_GB2312"/>
          <w:b/>
          <w:sz w:val="28"/>
          <w:szCs w:val="28"/>
          <w:highlight w:val="none"/>
        </w:rPr>
        <w:t>17.8承包人的环境保护责任</w:t>
      </w:r>
      <w:bookmarkEnd w:id="180"/>
    </w:p>
    <w:p w14:paraId="7144C6DC">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⑴发包人和承包人应按照《深圳市建筑废弃物管理办法》规定，在</w:t>
      </w:r>
      <w:r>
        <w:rPr>
          <w:rFonts w:hint="eastAsia" w:ascii="仿宋" w:hAnsi="仿宋" w:eastAsia="仿宋" w:cs="仿宋"/>
          <w:b/>
          <w:i/>
          <w:kern w:val="0"/>
          <w:sz w:val="28"/>
          <w:szCs w:val="28"/>
          <w:highlight w:val="none"/>
        </w:rPr>
        <w:t>专用条款</w:t>
      </w:r>
      <w:r>
        <w:rPr>
          <w:rFonts w:hint="eastAsia" w:ascii="仿宋" w:hAnsi="仿宋" w:eastAsia="仿宋" w:cs="仿宋"/>
          <w:kern w:val="0"/>
          <w:sz w:val="28"/>
          <w:szCs w:val="28"/>
          <w:highlight w:val="none"/>
        </w:rPr>
        <w:t>中约定施工现场建筑废弃物减量化目标、要求和措施，明确承包人在施工现场建筑废弃物规范排放、分类处理、禁止混合排放等方面的要求和措施，以及建筑废弃物综合利用产品的相关使用要求，并约定相应违约责任。承包人向施工场地外排放建筑废弃物的，应按规定在排放前向建设、交通运输或水务部门申请建筑废弃物排放核准。</w:t>
      </w:r>
    </w:p>
    <w:p w14:paraId="3736D3A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承包人应当承担因其原因引起的环境污染侵权损害赔偿责任，因上述环境污染引起纠纷而导致暂停施工的，由此增加的费用和（或）延误的工期由承包人承担。</w:t>
      </w:r>
    </w:p>
    <w:p w14:paraId="4DF33AE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⑶承包人在施工期间，应严格执行《深圳经济特区生态环境保护条例》和《深圳经济特区环境噪声污染防治条例》等有关法规的规定，依法文明施工，尽可能减少施工对居民生活的影响。</w:t>
      </w:r>
    </w:p>
    <w:p w14:paraId="57D01F5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181" w:name="_Hlk10012773"/>
      <w:r>
        <w:rPr>
          <w:rFonts w:hint="eastAsia" w:ascii="仿宋_GB2312" w:hAnsi="仿宋_GB2312" w:eastAsia="仿宋_GB2312" w:cs="仿宋_GB2312"/>
          <w:sz w:val="28"/>
          <w:szCs w:val="28"/>
          <w:highlight w:val="none"/>
        </w:rPr>
        <w:t>⑷承包人在开工前应向政府环保部门申报施工期的环保方案。如需夜间连续施工，必须提前到政府环保部门申请核准手续</w:t>
      </w:r>
      <w:bookmarkEnd w:id="181"/>
      <w:r>
        <w:rPr>
          <w:rFonts w:hint="eastAsia" w:ascii="仿宋_GB2312" w:hAnsi="仿宋_GB2312" w:eastAsia="仿宋_GB2312" w:cs="仿宋_GB2312"/>
          <w:sz w:val="28"/>
          <w:szCs w:val="28"/>
          <w:highlight w:val="none"/>
        </w:rPr>
        <w:t>。</w:t>
      </w:r>
    </w:p>
    <w:p w14:paraId="4EC5BA0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182" w:name="_Hlk534335480"/>
      <w:r>
        <w:rPr>
          <w:rFonts w:hint="eastAsia" w:ascii="仿宋_GB2312" w:hAnsi="仿宋_GB2312" w:eastAsia="仿宋_GB2312" w:cs="仿宋_GB2312"/>
          <w:kern w:val="2"/>
          <w:sz w:val="28"/>
          <w:szCs w:val="28"/>
          <w:highlight w:val="none"/>
        </w:rPr>
        <w:t>⑸</w:t>
      </w:r>
      <w:bookmarkStart w:id="183" w:name="_Hlk10013096"/>
      <w:r>
        <w:rPr>
          <w:rFonts w:hint="eastAsia" w:ascii="仿宋_GB2312" w:hAnsi="仿宋_GB2312" w:eastAsia="仿宋_GB2312" w:cs="仿宋_GB2312"/>
          <w:sz w:val="28"/>
          <w:szCs w:val="28"/>
          <w:highlight w:val="none"/>
        </w:rPr>
        <w:t>承包人使用非道路移动机械必须符合国家、广东省、深圳市和</w:t>
      </w:r>
      <w:r>
        <w:rPr>
          <w:rFonts w:hint="eastAsia" w:ascii="仿宋_GB2312" w:hAnsi="仿宋_GB2312" w:eastAsia="仿宋_GB2312" w:cs="仿宋_GB2312"/>
          <w:sz w:val="28"/>
          <w:szCs w:val="28"/>
          <w:highlight w:val="none"/>
          <w:lang w:val="en-US" w:eastAsia="zh-CN"/>
        </w:rPr>
        <w:t>福田</w:t>
      </w:r>
      <w:r>
        <w:rPr>
          <w:rFonts w:hint="eastAsia" w:ascii="仿宋_GB2312" w:hAnsi="仿宋_GB2312" w:eastAsia="仿宋_GB2312" w:cs="仿宋_GB2312"/>
          <w:sz w:val="28"/>
          <w:szCs w:val="28"/>
          <w:highlight w:val="none"/>
        </w:rPr>
        <w:t>区相关法律法规、规定、办法的要求，并按要求较严格的规定执行</w:t>
      </w:r>
      <w:bookmarkEnd w:id="182"/>
      <w:bookmarkEnd w:id="183"/>
      <w:r>
        <w:rPr>
          <w:rFonts w:hint="eastAsia" w:ascii="仿宋_GB2312" w:hAnsi="仿宋_GB2312" w:eastAsia="仿宋_GB2312" w:cs="仿宋_GB2312"/>
          <w:sz w:val="28"/>
          <w:szCs w:val="28"/>
          <w:highlight w:val="none"/>
        </w:rPr>
        <w:t>。</w:t>
      </w:r>
    </w:p>
    <w:p w14:paraId="72B5D401">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84" w:name="_Toc25937"/>
      <w:r>
        <w:rPr>
          <w:rFonts w:hint="eastAsia" w:ascii="仿宋_GB2312" w:hAnsi="仿宋_GB2312" w:eastAsia="仿宋_GB2312" w:cs="仿宋_GB2312"/>
          <w:b/>
          <w:bCs/>
          <w:sz w:val="28"/>
          <w:szCs w:val="28"/>
          <w:highlight w:val="none"/>
        </w:rPr>
        <w:t>18.余泥渣土运输</w:t>
      </w:r>
      <w:bookmarkEnd w:id="184"/>
    </w:p>
    <w:p w14:paraId="12DBBD1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85" w:name="_Toc29543"/>
      <w:r>
        <w:rPr>
          <w:rFonts w:hint="eastAsia" w:ascii="仿宋_GB2312" w:hAnsi="仿宋_GB2312" w:eastAsia="仿宋_GB2312" w:cs="仿宋_GB2312"/>
          <w:b/>
          <w:sz w:val="28"/>
          <w:szCs w:val="28"/>
          <w:highlight w:val="none"/>
        </w:rPr>
        <w:t>18.1余泥渣土运输车辆证件要求</w:t>
      </w:r>
      <w:bookmarkEnd w:id="185"/>
    </w:p>
    <w:p w14:paraId="452D7BE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承担本工程余泥渣土运输任务的专业运输单位及其营运的余泥渣土运输车辆应当持有相关职能部门核发的下列有效证件：</w:t>
      </w:r>
    </w:p>
    <w:p w14:paraId="5CDF33A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⑴专业运输单位应持有营业执照和交通部门核发的《道路运输经营许可证》；</w:t>
      </w:r>
    </w:p>
    <w:p w14:paraId="5A5F047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⑵余泥渣土运输车辆应持有：</w:t>
      </w:r>
    </w:p>
    <w:p w14:paraId="5025F04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①交通部门核发的《道路运输许可证》；</w:t>
      </w:r>
    </w:p>
    <w:p w14:paraId="137F91E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②城管部门核发的《城市建筑垃圾准运证》；</w:t>
      </w:r>
    </w:p>
    <w:p w14:paraId="1FB96AF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③公安交警部门核发的《机动车行驶证》、《深圳市余泥渣土运输车辆临时通行证》。</w:t>
      </w:r>
    </w:p>
    <w:p w14:paraId="4154699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⑶余泥渣土运输车辆驾驶员应持有相应的资格证件。</w:t>
      </w:r>
    </w:p>
    <w:p w14:paraId="3CAD4DC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86" w:name="_Toc16298"/>
      <w:r>
        <w:rPr>
          <w:rFonts w:hint="eastAsia" w:ascii="仿宋_GB2312" w:hAnsi="仿宋_GB2312" w:eastAsia="仿宋_GB2312" w:cs="仿宋_GB2312"/>
          <w:b/>
          <w:sz w:val="28"/>
          <w:szCs w:val="28"/>
          <w:highlight w:val="none"/>
        </w:rPr>
        <w:t>18.2承包人自行运输</w:t>
      </w:r>
      <w:bookmarkEnd w:id="186"/>
    </w:p>
    <w:p w14:paraId="658BDD7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⑴承包人持有第18.1款相关证件，具备余泥渣土运输任务能力的，可自行组织完成本合同约定的余泥渣土运输任务。</w:t>
      </w:r>
    </w:p>
    <w:p w14:paraId="0EC7AB8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⑵承包人不持有第18.1款相关证件，不具备余泥渣土运输任务能力而自行承担余泥渣土运输任务，应按照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的约定承担违约责任。同时，上述违约行为导致的工期延误和(或)费用增加，由承包人承担责任。</w:t>
      </w:r>
    </w:p>
    <w:p w14:paraId="120FAC6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87" w:name="_Toc19966"/>
      <w:r>
        <w:rPr>
          <w:rFonts w:hint="eastAsia" w:ascii="仿宋_GB2312" w:hAnsi="仿宋_GB2312" w:eastAsia="仿宋_GB2312" w:cs="仿宋_GB2312"/>
          <w:b/>
          <w:sz w:val="28"/>
          <w:szCs w:val="28"/>
          <w:highlight w:val="none"/>
        </w:rPr>
        <w:t>18.3余泥渣土运输分包</w:t>
      </w:r>
      <w:bookmarkEnd w:id="187"/>
    </w:p>
    <w:p w14:paraId="3848D23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⑴承包人不持有第18.1款相关证件，不具备余泥渣土运输任务能力的，经发包人同意，承包人应将余泥渣土运输任务分包给符合第18.1款相关证件要求的专业运输单位，并报监理人审核和发包人批准。</w:t>
      </w:r>
    </w:p>
    <w:p w14:paraId="29684B1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⑵承包人应将余泥渣土运输分包合同、专业运输单位和余泥渣土运输车辆的相关资料送发包人和监理人备案。此审核并不免除承包人应承担的本合同约定义务。</w:t>
      </w:r>
    </w:p>
    <w:p w14:paraId="6719541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⑶承包人将余泥渣土运输任务分包给不符合第18.1款相关证件要求的专业运输单位，应按照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的约定承担违约责任。同时，上述违约行为导致的工期延误和(或)费用增加，由承包人承担责任。</w:t>
      </w:r>
    </w:p>
    <w:p w14:paraId="00291ED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88" w:name="_Toc1431"/>
      <w:r>
        <w:rPr>
          <w:rFonts w:hint="eastAsia" w:ascii="仿宋_GB2312" w:hAnsi="仿宋_GB2312" w:eastAsia="仿宋_GB2312" w:cs="仿宋_GB2312"/>
          <w:b/>
          <w:sz w:val="28"/>
          <w:szCs w:val="28"/>
          <w:highlight w:val="none"/>
        </w:rPr>
        <w:t>18.4余泥渣土运输车辆保险</w:t>
      </w:r>
      <w:bookmarkEnd w:id="188"/>
    </w:p>
    <w:p w14:paraId="63405A1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⑴承担本工程余泥渣土运输任务的车辆应当向有关保险公司投保，并取得车辆保险单。如因未投保的余泥渣土运输车辆造成第三人财产损失和(或)人身伤亡，余泥渣土运输车辆所属专业运输单位应承担连带责任。</w:t>
      </w:r>
    </w:p>
    <w:p w14:paraId="16D8064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⑵承包人将余泥渣土运输任务分包时，承包人和车辆运输分包人应在余泥渣土运输分包合同中明确本款所述的连带责任。</w:t>
      </w:r>
    </w:p>
    <w:p w14:paraId="5040FA2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89" w:name="_Toc17213"/>
      <w:r>
        <w:rPr>
          <w:rFonts w:hint="eastAsia" w:ascii="仿宋_GB2312" w:hAnsi="仿宋_GB2312" w:eastAsia="仿宋_GB2312" w:cs="仿宋_GB2312"/>
          <w:b/>
          <w:sz w:val="28"/>
          <w:szCs w:val="28"/>
          <w:highlight w:val="none"/>
        </w:rPr>
        <w:t>18.5余泥渣土运输车辆和驾驶员</w:t>
      </w:r>
      <w:bookmarkEnd w:id="189"/>
    </w:p>
    <w:p w14:paraId="5FCD1BB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⑴承担本工程余泥渣土运输任务的车辆和驾驶员应当符合第18.1款相关证件要求，同时车辆还应具有第18.4⑴款所要求的车辆保险单，车辆应为符合《常用重型货车(泥头车)数据信息对照表》外形数据的重型车辆。</w:t>
      </w:r>
    </w:p>
    <w:p w14:paraId="78F31F1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⑵承包人按18.2款自行完成余泥渣土运输任务时，发包人和承包人应在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中载明所有参加本工程余泥渣土运输车辆的数量、证件、车牌号码、驾驶员姓名、驾驶证件等信息。</w:t>
      </w:r>
    </w:p>
    <w:p w14:paraId="34D4652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按18.3款将余泥渣土运输任务分包时，承包人和运输分包人应在余泥渣土运输分包合同中载明所有参加本工程余泥渣土运输车辆的数量、证件、车牌号码、驾驶员姓名、驾驶证件等信息，并将名单报监理人备案。</w:t>
      </w:r>
    </w:p>
    <w:p w14:paraId="3321FBA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⑷对上述情形，如需改变已提交的车辆和驾驶员名单，承包人或运输分包人应在确定改变前7天将拟改变的名单提交监理人审核确认。</w:t>
      </w:r>
    </w:p>
    <w:p w14:paraId="5175282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⑸若承包人违反本款规定，应承担</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中约定的违约责任；对于车辆运输分包人违反上述规定，承包人亦应在运输分包合同中约定此违约责任，并承担连带责任。</w:t>
      </w:r>
    </w:p>
    <w:p w14:paraId="35C4718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0" w:name="_Toc30827"/>
      <w:r>
        <w:rPr>
          <w:rFonts w:hint="eastAsia" w:ascii="仿宋_GB2312" w:hAnsi="仿宋_GB2312" w:eastAsia="仿宋_GB2312" w:cs="仿宋_GB2312"/>
          <w:b/>
          <w:sz w:val="28"/>
          <w:szCs w:val="28"/>
          <w:highlight w:val="none"/>
        </w:rPr>
        <w:t>18.6专职检查人员</w:t>
      </w:r>
      <w:bookmarkEnd w:id="190"/>
    </w:p>
    <w:p w14:paraId="732574F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安排专职检查人员对余泥渣土运输车辆和专职驾驶员依本合同约定的内容进行检查。对违反合同约定的检查结果，承包人应责令相关方限期整改。整改期间，整改所涉余泥渣土运输车辆不得承担本工程约定的运输任务。承包人安排的专职检查人员和检查内容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w:t>
      </w:r>
    </w:p>
    <w:p w14:paraId="2057498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1" w:name="_Toc31793"/>
      <w:r>
        <w:rPr>
          <w:rFonts w:hint="eastAsia" w:ascii="仿宋_GB2312" w:hAnsi="仿宋_GB2312" w:eastAsia="仿宋_GB2312" w:cs="仿宋_GB2312"/>
          <w:b/>
          <w:sz w:val="28"/>
          <w:szCs w:val="28"/>
          <w:highlight w:val="none"/>
        </w:rPr>
        <w:t>18.7余泥渣土安全文明运输</w:t>
      </w:r>
      <w:bookmarkEnd w:id="191"/>
    </w:p>
    <w:p w14:paraId="56DC354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约定的违约责任。</w:t>
      </w:r>
    </w:p>
    <w:p w14:paraId="7E23760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2" w:name="_Toc32220"/>
      <w:r>
        <w:rPr>
          <w:rFonts w:hint="eastAsia" w:ascii="仿宋_GB2312" w:hAnsi="仿宋_GB2312" w:eastAsia="仿宋_GB2312" w:cs="仿宋_GB2312"/>
          <w:b/>
          <w:sz w:val="28"/>
          <w:szCs w:val="28"/>
          <w:highlight w:val="none"/>
        </w:rPr>
        <w:t>18.8检查纠正责任</w:t>
      </w:r>
      <w:bookmarkEnd w:id="192"/>
    </w:p>
    <w:p w14:paraId="3E0A4CB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对18.6款和18.7款约定的检查纠正工作制定专项工作程序，并监督和督促专职检查人员认真履行合同约定的职责。此项监督和督促并不免除承包人应承担的本合同义务。若承包人指定的专职检查人员未履行合同约定的检查纠正职责，承包人应承担</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约定的违约责任。</w:t>
      </w:r>
    </w:p>
    <w:p w14:paraId="3B2BF94D">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93" w:name="_Toc11541"/>
      <w:r>
        <w:rPr>
          <w:rFonts w:hint="eastAsia" w:ascii="仿宋_GB2312" w:hAnsi="仿宋_GB2312" w:eastAsia="仿宋_GB2312" w:cs="仿宋_GB2312"/>
          <w:b/>
          <w:bCs/>
          <w:sz w:val="28"/>
          <w:szCs w:val="28"/>
          <w:highlight w:val="none"/>
        </w:rPr>
        <w:t>19.工程的保护</w:t>
      </w:r>
      <w:bookmarkEnd w:id="193"/>
    </w:p>
    <w:p w14:paraId="1F0BE10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4" w:name="_Toc12591"/>
      <w:r>
        <w:rPr>
          <w:rFonts w:hint="eastAsia" w:ascii="仿宋_GB2312" w:hAnsi="仿宋_GB2312" w:eastAsia="仿宋_GB2312" w:cs="仿宋_GB2312"/>
          <w:b/>
          <w:sz w:val="28"/>
          <w:szCs w:val="28"/>
          <w:highlight w:val="none"/>
        </w:rPr>
        <w:t>19.1工程的保护</w:t>
      </w:r>
      <w:bookmarkEnd w:id="194"/>
    </w:p>
    <w:p w14:paraId="54A7B07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14:paraId="58DDD21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⑵本款所述照管责任是指照管责任人应对因丢失、盗失、毁损等行为引起的材料、设备使用状态和存在状态不符合合同约定承担修复、赔偿、损失自担等责任。</w:t>
      </w:r>
    </w:p>
    <w:p w14:paraId="766B1FA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5" w:name="_Toc9280"/>
      <w:r>
        <w:rPr>
          <w:rFonts w:hint="eastAsia" w:ascii="仿宋_GB2312" w:hAnsi="仿宋_GB2312" w:eastAsia="仿宋_GB2312" w:cs="仿宋_GB2312"/>
          <w:b/>
          <w:sz w:val="28"/>
          <w:szCs w:val="28"/>
          <w:highlight w:val="none"/>
        </w:rPr>
        <w:t>19.2成品、半成品保护</w:t>
      </w:r>
      <w:bookmarkEnd w:id="195"/>
    </w:p>
    <w:p w14:paraId="432F8A5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工程中分期完成的成品、半成品，在工程竣工移交前，承包人负保护责任，任何其他分包人对其使用或在其基础上施工，必须得到承包人的许可。对监理人确认因承包人保护措施不当造成的损坏，由承包人负责修复；对分包人在施工过程中造成的损坏由责任人负责修复。</w:t>
      </w:r>
    </w:p>
    <w:p w14:paraId="61C7F32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6" w:name="_Toc28384"/>
      <w:r>
        <w:rPr>
          <w:rFonts w:hint="eastAsia" w:ascii="仿宋_GB2312" w:hAnsi="仿宋_GB2312" w:eastAsia="仿宋_GB2312" w:cs="仿宋_GB2312"/>
          <w:b/>
          <w:sz w:val="28"/>
          <w:szCs w:val="28"/>
          <w:highlight w:val="none"/>
        </w:rPr>
        <w:t>19.3工程的修复</w:t>
      </w:r>
      <w:bookmarkEnd w:id="196"/>
    </w:p>
    <w:p w14:paraId="6CCB3C6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在负责照管期间，如因承包人自身或(和)第三方原因造成本工程或其任何部分，以及材料、设备、装备、临时工程的毁损，承包人均应自费弥补上述损坏、损失或损伤，以使工程在各方面都符合合同约定的标准。</w:t>
      </w:r>
    </w:p>
    <w:p w14:paraId="285FE781">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197" w:name="_Toc32189"/>
      <w:r>
        <w:rPr>
          <w:rFonts w:hint="eastAsia" w:ascii="仿宋_GB2312" w:hAnsi="仿宋_GB2312" w:eastAsia="仿宋_GB2312" w:cs="仿宋_GB2312"/>
          <w:b/>
          <w:bCs/>
          <w:sz w:val="28"/>
          <w:szCs w:val="28"/>
          <w:highlight w:val="none"/>
        </w:rPr>
        <w:t>20.合同价格的确定和调整</w:t>
      </w:r>
      <w:bookmarkEnd w:id="197"/>
    </w:p>
    <w:p w14:paraId="0ECCC40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8" w:name="_Toc13915"/>
      <w:r>
        <w:rPr>
          <w:rFonts w:hint="eastAsia" w:ascii="仿宋_GB2312" w:hAnsi="仿宋_GB2312" w:eastAsia="仿宋_GB2312" w:cs="仿宋_GB2312"/>
          <w:b/>
          <w:sz w:val="28"/>
          <w:szCs w:val="28"/>
          <w:highlight w:val="none"/>
        </w:rPr>
        <w:t>20.1签约合同价的确定</w:t>
      </w:r>
      <w:bookmarkEnd w:id="198"/>
    </w:p>
    <w:p w14:paraId="3051815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⑴本工程签约合同价由发包人和承包人依据中标通知书中的中标价(即承包人的投标报价)在本合同协议书中约定。签约合同价在本合同协议书中约定后，任何一方不得擅自改变。</w:t>
      </w:r>
    </w:p>
    <w:p w14:paraId="248BDE9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⑵本合同采用固定单价的合同形式。承包人投标报价中的工程量清单项目单价即为构成签约合同价的项目单价。除本合同另有约定，构成签约合同价的项目单价一经发包人和承包人签订合同确定后不作调整。</w:t>
      </w:r>
    </w:p>
    <w:p w14:paraId="42ADFD3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⑶承发包双方应在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中约定综合单价包含的风险范围。</w:t>
      </w:r>
    </w:p>
    <w:p w14:paraId="1056321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⑷除合同另有约定以外，按照国家现行税法和有关部门现行规定，承包人或其分包人需缴纳的一切税金和费用，均应由承包人或其分包人承担并支付。</w:t>
      </w:r>
    </w:p>
    <w:p w14:paraId="48D9B82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199" w:name="_Toc2187"/>
      <w:r>
        <w:rPr>
          <w:rFonts w:hint="eastAsia" w:ascii="仿宋_GB2312" w:hAnsi="仿宋_GB2312" w:eastAsia="仿宋_GB2312" w:cs="仿宋_GB2312"/>
          <w:b/>
          <w:sz w:val="28"/>
          <w:szCs w:val="28"/>
          <w:highlight w:val="none"/>
        </w:rPr>
        <w:t>20.2合同价格的调整</w:t>
      </w:r>
      <w:bookmarkEnd w:id="199"/>
    </w:p>
    <w:p w14:paraId="5C8B040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发生以下情形，合同价格可作调整：</w:t>
      </w:r>
    </w:p>
    <w:p w14:paraId="598F69A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⑴按照第13条确定的提前竣工、延期竣工及赶工补偿；</w:t>
      </w:r>
    </w:p>
    <w:p w14:paraId="0FAE0DE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⑵按照第20.3款确定的法律、法规的变化；</w:t>
      </w:r>
    </w:p>
    <w:p w14:paraId="284E158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⑶按照第20.4款确定工料机调差；</w:t>
      </w:r>
    </w:p>
    <w:p w14:paraId="753D7C7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⑷按照第21条确定的暂估价、暂列金额；</w:t>
      </w:r>
    </w:p>
    <w:p w14:paraId="6F61D31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⑸按照第22条确定的工程量清单缺项、项目特征不符；</w:t>
      </w:r>
    </w:p>
    <w:p w14:paraId="7A76D71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⑹按照第24、25条确定的工程变更、签证、工程量偏差以及价值工程费用或收益；</w:t>
      </w:r>
    </w:p>
    <w:p w14:paraId="0F1E299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⑺按照第28条及本合同其它条款中确定的违约责任；</w:t>
      </w:r>
    </w:p>
    <w:p w14:paraId="4A1FFE6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⑻按照第29条确定的费用索赔事件；</w:t>
      </w:r>
    </w:p>
    <w:p w14:paraId="381E60B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⑼按照第32条确定的应由发包人承担的不可抗力损失费用；</w:t>
      </w:r>
    </w:p>
    <w:p w14:paraId="06058A1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⑽市工程造价管理机构发布的工程造价调整政策；</w:t>
      </w:r>
    </w:p>
    <w:p w14:paraId="4135424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⑾本合同条款以及</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约定的其他调整因素。</w:t>
      </w:r>
    </w:p>
    <w:p w14:paraId="129E69F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0" w:name="_Toc23244"/>
      <w:r>
        <w:rPr>
          <w:rFonts w:hint="eastAsia" w:ascii="仿宋_GB2312" w:hAnsi="仿宋_GB2312" w:eastAsia="仿宋_GB2312" w:cs="仿宋_GB2312"/>
          <w:b/>
          <w:sz w:val="28"/>
          <w:szCs w:val="28"/>
          <w:highlight w:val="none"/>
        </w:rPr>
        <w:t>20.3法律法规的改变</w:t>
      </w:r>
      <w:bookmarkEnd w:id="200"/>
    </w:p>
    <w:p w14:paraId="4DF935C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⑴合同签订后,因国家法律、法规、规章和政策的改变对合同价格产生影响的,合同价格应作调整。发包人和承包人应根据法律法规改变造成的实际影响，按照市工程造价管理机构发布的相应办法进行调整。</w:t>
      </w:r>
    </w:p>
    <w:p w14:paraId="7D5D527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⑵按前款情形对合同价格进行调整时，因承包人原因导致工期延误的，在本合同约定竣工日期之后，合同价格调增的不予调整，合同价格调减的予以调整。</w:t>
      </w:r>
    </w:p>
    <w:p w14:paraId="31D567A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⑶因承包人原因造成工期延误，在工期延误期间出现法律变化的，由此增加的费用和（或）延误的工期由承包人承担。</w:t>
      </w:r>
    </w:p>
    <w:p w14:paraId="519455E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⑷因法律变化引起的合同价格和工期调整，承发包双方无法达成一致的，按第30条［争议解决］处理。</w:t>
      </w:r>
    </w:p>
    <w:p w14:paraId="3DD7685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1" w:name="_Toc4809"/>
      <w:r>
        <w:rPr>
          <w:rFonts w:hint="eastAsia" w:ascii="仿宋_GB2312" w:hAnsi="仿宋_GB2312" w:eastAsia="仿宋_GB2312" w:cs="仿宋_GB2312"/>
          <w:b/>
          <w:sz w:val="28"/>
          <w:szCs w:val="28"/>
          <w:highlight w:val="none"/>
        </w:rPr>
        <w:t>20.4工料机调差</w:t>
      </w:r>
      <w:bookmarkEnd w:id="201"/>
    </w:p>
    <w:p w14:paraId="2D7306A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⑴承包人应充分考虑本工程施工期间因材料或劳务市场价格波动等任何有可能引起施工成本增加的风险(本合同约定可调差情形除外)，并不得据此提出索赔。</w:t>
      </w:r>
    </w:p>
    <w:p w14:paraId="6B72B21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另有约定外，由于非承包人原因引起的用于本工程的人工、主要材料及机械使用的价格波动超过±5%时，其超过部分的合同价格应按20.5款、20.6款方法在与其相关的工程完工后一次性进行调整。</w:t>
      </w:r>
    </w:p>
    <w:p w14:paraId="57E853E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⑶主要材料是指用于本工程的某种材料价格总额达到签约合同价5%或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约定比例及以上的材料。</w:t>
      </w:r>
    </w:p>
    <w:p w14:paraId="7BA2C33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⑷发包人和承包人可根据本工程的具体实际，在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约定用于本工程的未达到20.4⑶款约定比例的其它材料中可调差的材料种类。</w:t>
      </w:r>
    </w:p>
    <w:p w14:paraId="3600B9F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⑸工料机调差费用部分应计规费和税金，不计企业管理费和利润。工料机调差费用应按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的约定进行计算和支付。</w:t>
      </w:r>
    </w:p>
    <w:p w14:paraId="1BC44B6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2" w:name="_Toc775"/>
      <w:r>
        <w:rPr>
          <w:rFonts w:hint="eastAsia" w:ascii="仿宋_GB2312" w:hAnsi="仿宋_GB2312" w:eastAsia="仿宋_GB2312" w:cs="仿宋_GB2312"/>
          <w:b/>
          <w:sz w:val="28"/>
          <w:szCs w:val="28"/>
          <w:highlight w:val="none"/>
        </w:rPr>
        <w:t>20.5材料调差方法</w:t>
      </w:r>
      <w:bookmarkEnd w:id="202"/>
    </w:p>
    <w:p w14:paraId="41AC61E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按照20.4⑶、⑷款确定的可调差材料发生价格波动时，可在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中约定一种调差方式：</w:t>
      </w:r>
    </w:p>
    <w:p w14:paraId="5E44532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当</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P＞P0时：</w:t>
      </w:r>
    </w:p>
    <w:p w14:paraId="2EBC317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①Pt＜P0，且</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P/P0＞1.05，则：C增=Q总×Pt×(</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P/P0－1.05)</w:t>
      </w:r>
    </w:p>
    <w:p w14:paraId="126D6B5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②Pt≥P0，且</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P/Pt＞1.05，则：C增=Q总×Pt×(</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P/Pt－1.05)</w:t>
      </w:r>
    </w:p>
    <w:p w14:paraId="7BF2AE2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当</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P＜P0时：</w:t>
      </w:r>
    </w:p>
    <w:p w14:paraId="0F6190E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①Pt＜P0，且</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P/Pt＜0.95，则：C减=Q总×Pt×(0.95－</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P/Pt)</w:t>
      </w:r>
    </w:p>
    <w:p w14:paraId="16115DA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②Pt≥P0，且</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P/P0＜0.95，则：C减=Q总×Pt×(0.95－</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P/P0)</w:t>
      </w:r>
    </w:p>
    <w:p w14:paraId="75E313D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式中：</w:t>
      </w:r>
    </w:p>
    <w:p w14:paraId="4CF7670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P0－投标截止日期已出版的最新一期或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一期《深圳建设工程价格信息》发布的某材料价格。示例：如《深圳建设工程价格信息》2015年第6期出版时间是2015年6月5日，投标截止日期如果是2015年6月4日或6月5日，则P0对应的信息价是指2015年第5期《深圳建设工程价格信息》，投标截止日期如果是2015年6月6日，则P0对应的信息价是指2015年第6期《深圳建设工程价格信息》。</w:t>
      </w:r>
    </w:p>
    <w:p w14:paraId="30CF6B2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Pt－承包人投标文件商务标书中某材料的投标单价，如投标报价中无法确认某材料的单价时，则Pt取值为P0×（1-投标总价净下浮率）；</w:t>
      </w:r>
    </w:p>
    <w:p w14:paraId="574413F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C增－调增合同价格；</w:t>
      </w:r>
    </w:p>
    <w:p w14:paraId="2DD7B4A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C减－调减合同价格；</w:t>
      </w:r>
    </w:p>
    <w:p w14:paraId="3A71A83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Q总－本工程某材料根据图纸计算并考虑投标报价中材料消耗量之后的总工程量。</w:t>
      </w:r>
    </w:p>
    <w:p w14:paraId="656391F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P－计算方式如下（或按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中约定的方法）：</w:t>
      </w:r>
    </w:p>
    <w:p w14:paraId="32F18DD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①加权平均法：</w:t>
      </w:r>
    </w:p>
    <w:p w14:paraId="0DB9796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施工期加权平均价格，即∑(Qi×Pi)/Q总，其中Qi为施工期第i个月某材料用量，该用量为当月已计量工程中，某材料根据图纸计算并考虑投标报价中材料消耗量之后的工程量；Pi为施工期第i个月当期《深圳建设工程价格信息》发布的某材料价格。例如施工期第i个月是2015年7月，则对应《深圳建设工程价格信息》2015年第7期。</w:t>
      </w:r>
    </w:p>
    <w:p w14:paraId="0DB2884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或者②算术平均法：</w:t>
      </w:r>
    </w:p>
    <w:p w14:paraId="7EE7075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P-本工程有某材料投入月份对应《深圳建设工程价格信息》发布某材料价格的算术平均值。例如有某材料投入月份是指2015年5至7月，则对应《深圳建设工程价格信息》2015年第5至7期价格信息之和除以3。</w:t>
      </w:r>
    </w:p>
    <w:p w14:paraId="63D8D64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3" w:name="_Toc15453"/>
      <w:r>
        <w:rPr>
          <w:rFonts w:hint="eastAsia" w:ascii="仿宋_GB2312" w:hAnsi="仿宋_GB2312" w:eastAsia="仿宋_GB2312" w:cs="仿宋_GB2312"/>
          <w:b/>
          <w:sz w:val="28"/>
          <w:szCs w:val="28"/>
          <w:highlight w:val="none"/>
        </w:rPr>
        <w:t>20.6人工、机械使用调差方法</w:t>
      </w:r>
      <w:bookmarkEnd w:id="203"/>
    </w:p>
    <w:p w14:paraId="2F429BC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⑴用于本工程的机械使用发生价格波动时，按照20.5款调差公式，将公式中的材料价格替换为机械使用价格，调整合同价格。</w:t>
      </w:r>
    </w:p>
    <w:p w14:paraId="0C1B145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⑵用于本工程的人工发生价格波动时，可在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中约定一种调差方式：</w:t>
      </w:r>
    </w:p>
    <w:p w14:paraId="573B102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①按照20.5款调差公式，将公式中的材料价格替换为人工价格，即P0、Pi分别为投标截止日期、施工期第i个月《深圳建设工程价格信息》发布的某人工工日单价，调整合同价格。或；</w:t>
      </w:r>
    </w:p>
    <w:p w14:paraId="23FAE50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②按照人工费指数调差：</w:t>
      </w:r>
    </w:p>
    <w:p w14:paraId="1BC5856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当</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I/Io﹥1.05时，则：C增=L总×(</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I/Io-1.05)；</w:t>
      </w:r>
    </w:p>
    <w:p w14:paraId="342346F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当</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I/Io﹤0.95时，则：C减=L总×(0.95-</w:t>
      </w:r>
      <w:r>
        <w:rPr>
          <w:rFonts w:hint="eastAsia" w:ascii="仿宋_GB2312" w:hAnsi="仿宋_GB2312" w:eastAsia="仿宋_GB2312" w:cs="仿宋_GB2312"/>
          <w:sz w:val="28"/>
          <w:szCs w:val="28"/>
          <w:highlight w:val="none"/>
        </w:rPr>
        <w:sym w:font="Symbol" w:char="F060"/>
      </w:r>
      <w:r>
        <w:rPr>
          <w:rFonts w:hint="eastAsia" w:ascii="仿宋_GB2312" w:hAnsi="仿宋_GB2312" w:eastAsia="仿宋_GB2312" w:cs="仿宋_GB2312"/>
          <w:sz w:val="28"/>
          <w:szCs w:val="28"/>
          <w:highlight w:val="none"/>
        </w:rPr>
        <w:t>I/Io)</w:t>
      </w:r>
    </w:p>
    <w:p w14:paraId="07DD85F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式中：I-施工期平均人工费指数（即∑(Li×Ii)/L总，Li为施工期第i个月某工种人工费（调差前），Ii为施工期第i个月当期《深圳建设工程价格信息》发布的某工种人工费指数）；</w:t>
      </w:r>
    </w:p>
    <w:p w14:paraId="555198B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Io─投标截止日期已出版的最新一期或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约定的一期《深圳建设工程价格信息》发布的某工种人工费指数；</w:t>
      </w:r>
    </w:p>
    <w:p w14:paraId="0F842FD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C增─调增合同价格；</w:t>
      </w:r>
    </w:p>
    <w:p w14:paraId="0758BE9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C减─调减合同价格；</w:t>
      </w:r>
    </w:p>
    <w:p w14:paraId="779118D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L总─承包人投标文件商务标书中某工种总人工费。</w:t>
      </w:r>
    </w:p>
    <w:p w14:paraId="77B0652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4" w:name="_Toc14872"/>
      <w:r>
        <w:rPr>
          <w:rFonts w:hint="eastAsia" w:ascii="仿宋_GB2312" w:hAnsi="仿宋_GB2312" w:eastAsia="仿宋_GB2312" w:cs="仿宋_GB2312"/>
          <w:b/>
          <w:sz w:val="28"/>
          <w:szCs w:val="28"/>
          <w:highlight w:val="none"/>
        </w:rPr>
        <w:t>20.7合同价格调整程序</w:t>
      </w:r>
      <w:bookmarkEnd w:id="204"/>
    </w:p>
    <w:p w14:paraId="5BFF8F4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在20.2款约定的合同价格调整情况发生后14天内，将调整原因、金额书面提交给监理人，监理人审核调整金额，并报发包人确认后作为追加(减)合同价格，与工程进度款同期支付。发包人收到通知后14天内未确认也未提出异议的，视为已经同意该项合同价格调整。</w:t>
      </w:r>
    </w:p>
    <w:p w14:paraId="37433EB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当20.2款约定的合同价格调整情况持续进行时，承包人应阶段性向监理人书面提交调整合同价格报告，并在该情况终了后28天内，向监理人提交最终的调整合同价格报告，监理人审核和发包人确认程序与20.7⑴款约定相同。</w:t>
      </w:r>
    </w:p>
    <w:p w14:paraId="70FD777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当承包人未按20.7⑴、⑵款约定的时间内提出调整合同价格报告的，发包人可自行决定是否调整合同价格。发包人应在约定的合同价格调整情况发生后28天内将不调整合同价格的决定书面通知承包人；或将调整合同价格报告提交给承包人确认。承包人收到报告14天内未确认也未提出异议的，视为已经同意该项合同价格调整。</w:t>
      </w:r>
    </w:p>
    <w:p w14:paraId="6454E6B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⑷当约定的合同价格调整情况发生后，发包人和承包人均未在前款约定时间内提出调整合同价格意见，视为该调整情况的发生不涉及合同价格的调整。</w:t>
      </w:r>
    </w:p>
    <w:p w14:paraId="1E707C8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⑸上述合同价格调整有关文件的编制和审核均须经注册造价工程师签字盖章确认。经发包人和承包人确认调整的合同价格，作为追加(减)合同价款，应与工程进度款同期支付。</w:t>
      </w:r>
    </w:p>
    <w:p w14:paraId="1638837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5" w:name="_Toc11234"/>
      <w:r>
        <w:rPr>
          <w:rFonts w:hint="eastAsia" w:ascii="仿宋_GB2312" w:hAnsi="仿宋_GB2312" w:eastAsia="仿宋_GB2312" w:cs="仿宋_GB2312"/>
          <w:b/>
          <w:sz w:val="28"/>
          <w:szCs w:val="28"/>
          <w:highlight w:val="none"/>
        </w:rPr>
        <w:t>20.8中标净下浮率</w:t>
      </w:r>
      <w:bookmarkEnd w:id="205"/>
    </w:p>
    <w:p w14:paraId="0FE6013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w:t>
      </w:r>
    </w:p>
    <w:p w14:paraId="6ED6FAE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6" w:name="_Toc7426"/>
      <w:r>
        <w:rPr>
          <w:rFonts w:hint="eastAsia" w:ascii="仿宋_GB2312" w:hAnsi="仿宋_GB2312" w:eastAsia="仿宋_GB2312" w:cs="仿宋_GB2312"/>
          <w:b/>
          <w:sz w:val="28"/>
          <w:szCs w:val="28"/>
          <w:highlight w:val="none"/>
        </w:rPr>
        <w:t>20.9询价采购</w:t>
      </w:r>
      <w:bookmarkEnd w:id="206"/>
    </w:p>
    <w:p w14:paraId="4F07E29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⑴未经招标竞价的材料设备同时满足下列情形的，应当进行询价采购：</w:t>
      </w:r>
    </w:p>
    <w:p w14:paraId="3C53820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①因工程变更而增加的材料设备、由发包人供应的材料设备、暂估价中包含的材料设备等依法不需要另行招标的；</w:t>
      </w:r>
    </w:p>
    <w:p w14:paraId="07D3B60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②采购期前一年内《深圳建设工程价格信息》上未刊登价格；</w:t>
      </w:r>
    </w:p>
    <w:p w14:paraId="2DEEED2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③采购估算价超过二十万元。</w:t>
      </w:r>
    </w:p>
    <w:p w14:paraId="468A070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本工程需询价采购的材料设备在合同</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w:t>
      </w:r>
    </w:p>
    <w:p w14:paraId="697DFA1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⑵承发包双方根据合同约定的职责可担任上述材料设备采购责任主体的采购人，采购活动在合同</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约定的询价采购网络服务平台进行。</w:t>
      </w:r>
    </w:p>
    <w:p w14:paraId="4DCF602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⑶询价采购活动按以下程序进行，询价采购确定的成交价格可作为工程计价、造价审查及审计的依据。</w:t>
      </w:r>
    </w:p>
    <w:p w14:paraId="2F1F1B4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①询价采购前，采购人成立询价采购小组，小组由五人以上单数组成，成员可从与询价采购活动相关的发包人、承包人、监理人、设计人、造价咨询单位中选取；</w:t>
      </w:r>
    </w:p>
    <w:p w14:paraId="28B4F52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②采购人按相关办法规定编制询价采购文件，并在询价采购网络服务平台发布；</w:t>
      </w:r>
    </w:p>
    <w:p w14:paraId="0E76E51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③符合询价采购文件要求的供应商在报价截止日期前，通过询价采购网络服务平台一次性报出不得更改的价格。</w:t>
      </w:r>
    </w:p>
    <w:p w14:paraId="53AE2C7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④询价采购小组在评审时间内统一评审报价文件，在满足询价采购文件各项要求的情况下，按照性价比最优原则推荐不少于三家供应商。评审完成后，询价采购小组向采购人提交评审报告。</w:t>
      </w:r>
    </w:p>
    <w:p w14:paraId="6A43709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⑤采购人根据询价采购小组意见及相关规定，确定供应商及成交价格，成交价格作为合同价。</w:t>
      </w:r>
    </w:p>
    <w:p w14:paraId="53BF114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⑥采购人按相关办法规定对询价采购结果在询价采购网络服务平台进行公示。</w:t>
      </w:r>
    </w:p>
    <w:p w14:paraId="7785EF4B">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07" w:name="_Toc8151"/>
      <w:r>
        <w:rPr>
          <w:rFonts w:hint="eastAsia" w:ascii="仿宋_GB2312" w:hAnsi="仿宋_GB2312" w:eastAsia="仿宋_GB2312" w:cs="仿宋_GB2312"/>
          <w:b/>
          <w:bCs/>
          <w:sz w:val="28"/>
          <w:szCs w:val="28"/>
          <w:highlight w:val="none"/>
        </w:rPr>
        <w:t>21.暂估价和暂列金额</w:t>
      </w:r>
      <w:bookmarkEnd w:id="207"/>
    </w:p>
    <w:p w14:paraId="101C2C7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8" w:name="_Toc22444"/>
      <w:r>
        <w:rPr>
          <w:rFonts w:hint="eastAsia" w:ascii="仿宋_GB2312" w:hAnsi="仿宋_GB2312" w:eastAsia="仿宋_GB2312" w:cs="仿宋_GB2312"/>
          <w:b/>
          <w:sz w:val="28"/>
          <w:szCs w:val="28"/>
          <w:highlight w:val="none"/>
        </w:rPr>
        <w:t>21.1材料设备暂估价</w:t>
      </w:r>
      <w:bookmarkEnd w:id="208"/>
    </w:p>
    <w:p w14:paraId="22A52BC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⑴材料设备暂估价是发包人在工程量清单中提供的用于支付必然发生但暂时不能确定的材料设备的单价。发包人、承包人应在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中就上述材料设备的名称、规格、单位和暂估单价进行约定。该材料设备暂估价不作为竣工结算依据。</w:t>
      </w:r>
    </w:p>
    <w:p w14:paraId="0358EE3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⑵如21.1⑴款所述暂估的材料设备属按规定必须招标的，应由发包人通过招标方式确定该材料设备单价。</w:t>
      </w:r>
    </w:p>
    <w:p w14:paraId="6CCC456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⑶如21.1⑴款所述暂估的材料设备不属于按规定必须招标的：</w:t>
      </w:r>
    </w:p>
    <w:p w14:paraId="563707A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①暂估的材料设备价格已在《深圳建设工程价格信息》发布的，根据价格信息并按本工程净下浮率进行下浮调整确定该材料设备单价；</w:t>
      </w:r>
    </w:p>
    <w:p w14:paraId="223CD40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②暂估的材料设备价格未在《深圳建设工程价格信息》发布的，由发包人、承包人和监理人按有关规定通过询价采购方式确定该材料设备单价。</w:t>
      </w:r>
    </w:p>
    <w:p w14:paraId="662A56A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⑷材料设备暂估价应按承发包双方最终确认的价格调整价差，价差调整部分不计利润。</w:t>
      </w:r>
    </w:p>
    <w:p w14:paraId="097DB26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09" w:name="_Toc26209"/>
      <w:r>
        <w:rPr>
          <w:rFonts w:hint="eastAsia" w:ascii="仿宋_GB2312" w:hAnsi="仿宋_GB2312" w:eastAsia="仿宋_GB2312" w:cs="仿宋_GB2312"/>
          <w:b/>
          <w:sz w:val="28"/>
          <w:szCs w:val="28"/>
          <w:highlight w:val="none"/>
        </w:rPr>
        <w:t>21.2专业工程暂估价</w:t>
      </w:r>
      <w:bookmarkEnd w:id="209"/>
    </w:p>
    <w:p w14:paraId="61C3575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⑴专业工程暂估价是发包人在工程量清单中提供的用于支付必然发生但暂时不能确定的专业工程金额。发包人、承包人应在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中就上述专业工程的名称和暂估价款进行约定。该专业工程暂估价不作为结算依据。</w:t>
      </w:r>
    </w:p>
    <w:p w14:paraId="31CE546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⑵如21.2⑴款所述暂估的专业工程属按规定必须招标的，应由发包人通过招标方式确定该专业工程结算价款。</w:t>
      </w:r>
    </w:p>
    <w:p w14:paraId="499D045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⑶如21.2⑴款所述暂估的专业工程不属于按规定必须招标的，除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另有约定外，发包人和承包人应按照本工程招标控制价的编制方法，根据专业工程施工图、市工程造价管理机构发布的计价标准、价格信息等计算，并按本工程净下浮率进行下浮调整确定该专业工程结算价款。</w:t>
      </w:r>
    </w:p>
    <w:p w14:paraId="094A495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10" w:name="_Toc29206"/>
      <w:r>
        <w:rPr>
          <w:rFonts w:hint="eastAsia" w:ascii="仿宋_GB2312" w:hAnsi="仿宋_GB2312" w:eastAsia="仿宋_GB2312" w:cs="仿宋_GB2312"/>
          <w:b/>
          <w:sz w:val="28"/>
          <w:szCs w:val="28"/>
          <w:highlight w:val="none"/>
        </w:rPr>
        <w:t>21.3暂列金额</w:t>
      </w:r>
      <w:bookmarkEnd w:id="210"/>
    </w:p>
    <w:p w14:paraId="62B25F4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⑴暂列金额是发包人在工程量清单中暂定并包括在签约合同价中的一笔款项，用于下列事项的费用支出：</w:t>
      </w:r>
    </w:p>
    <w:p w14:paraId="52FBC91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①本合同签订时尚未确定或不可预见的所需材料、设备、服务的采购；</w:t>
      </w:r>
    </w:p>
    <w:p w14:paraId="4040BBC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②施工中可能发生的工程变更；</w:t>
      </w:r>
    </w:p>
    <w:p w14:paraId="1CA83DF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③合同约定调整因素出现时对合同价格所作的调整；</w:t>
      </w:r>
    </w:p>
    <w:p w14:paraId="180F11A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④索赔；</w:t>
      </w:r>
    </w:p>
    <w:p w14:paraId="320B960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⑤现场签证。</w:t>
      </w:r>
    </w:p>
    <w:p w14:paraId="05C1F0C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暂列金额是发包人为可能发生的费用而预留的金额，并非支付给承包人的实际费用。暂列金额应按照发包人的要求使用，发包人的要求应通过监理人发出。暂列金额不作为结算的依据。暂列金额的最终确定按本合同有关21.3⑴款有关事项的具体条款执行。</w:t>
      </w:r>
    </w:p>
    <w:p w14:paraId="14378938">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11" w:name="_Toc22570"/>
      <w:r>
        <w:rPr>
          <w:rFonts w:hint="eastAsia" w:ascii="仿宋_GB2312" w:hAnsi="仿宋_GB2312" w:eastAsia="仿宋_GB2312" w:cs="仿宋_GB2312"/>
          <w:b/>
          <w:bCs/>
          <w:sz w:val="28"/>
          <w:szCs w:val="28"/>
          <w:highlight w:val="none"/>
        </w:rPr>
        <w:t>22.工程量计量</w:t>
      </w:r>
      <w:bookmarkEnd w:id="211"/>
    </w:p>
    <w:p w14:paraId="0FE01E4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12" w:name="_Toc14405"/>
      <w:r>
        <w:rPr>
          <w:rFonts w:hint="eastAsia" w:ascii="仿宋_GB2312" w:hAnsi="仿宋_GB2312" w:eastAsia="仿宋_GB2312" w:cs="仿宋_GB2312"/>
          <w:b/>
          <w:sz w:val="28"/>
          <w:szCs w:val="28"/>
          <w:highlight w:val="none"/>
        </w:rPr>
        <w:t>22.1工程量清单</w:t>
      </w:r>
      <w:bookmarkEnd w:id="212"/>
    </w:p>
    <w:p w14:paraId="36746ED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在本工程招标文件中提供的工程量清单所开列的工程量是根据本工程的设计图纸提供的预计工程量，不能作为承包人在履行合同义务过程中应予完成的实际和准确的工程量，不作为期中结算和竣工结算时确认工程量的依据。</w:t>
      </w:r>
    </w:p>
    <w:p w14:paraId="0AEB105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⑵承包人实际应予完成的工程量以本工程图纸和技术规范为准。期中结算和竣工结算时的结算工程量按第22.5款有关工程量计量的结果确认。</w:t>
      </w:r>
    </w:p>
    <w:p w14:paraId="4F0E4BD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13" w:name="_Toc5917"/>
      <w:r>
        <w:rPr>
          <w:rFonts w:hint="eastAsia" w:ascii="仿宋_GB2312" w:hAnsi="仿宋_GB2312" w:eastAsia="仿宋_GB2312" w:cs="仿宋_GB2312"/>
          <w:b/>
          <w:sz w:val="28"/>
          <w:szCs w:val="28"/>
          <w:highlight w:val="none"/>
        </w:rPr>
        <w:t>22.2工程量清单缺项和项目特征不符</w:t>
      </w:r>
      <w:bookmarkEnd w:id="213"/>
    </w:p>
    <w:p w14:paraId="39F2A88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⑴本合同签订后56天内，承包人应根据招标时发包人提供的图纸对发包人提供的工程量清单进行复核，复核结果报监理人核对、发包人确认。</w:t>
      </w:r>
    </w:p>
    <w:p w14:paraId="3F82787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⑵若发包人提供的工程量清单相比招标时发包人提供的图纸，出现缺项或项目特征描述与图纸不符时，发包人应对工程量清单进行补充或调整，补充或调整的工程量清单项目的综合单价按25.1款的约定确定。</w:t>
      </w:r>
    </w:p>
    <w:p w14:paraId="3D75541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⑶出现工程量清单中措施项目缺项的，或按前款补充分部分项工程清单项目后引起措施项目发生变化的，应当按25.1款的约定，在承包人提交的实施方案被发包人批准后对合同价格进行调整。</w:t>
      </w:r>
    </w:p>
    <w:p w14:paraId="7FE15D3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14" w:name="_Toc6797"/>
      <w:r>
        <w:rPr>
          <w:rFonts w:hint="eastAsia" w:ascii="仿宋_GB2312" w:hAnsi="仿宋_GB2312" w:eastAsia="仿宋_GB2312" w:cs="仿宋_GB2312"/>
          <w:b/>
          <w:sz w:val="28"/>
          <w:szCs w:val="28"/>
          <w:highlight w:val="none"/>
        </w:rPr>
        <w:t>22.3工程量计算规则</w:t>
      </w:r>
      <w:bookmarkEnd w:id="214"/>
    </w:p>
    <w:p w14:paraId="592D854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发包人和承包人应当按照现行深圳市计量规范规定的工程量计算规则，或在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中约定本工程采用的工程量计算规则，作为本工程期中结算、竣工结算以及20.2款约定的合同价格调整情形发生时涉及工程量的计算规则。</w:t>
      </w:r>
    </w:p>
    <w:p w14:paraId="139049A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15" w:name="_Toc6154"/>
      <w:r>
        <w:rPr>
          <w:rFonts w:hint="eastAsia" w:ascii="仿宋_GB2312" w:hAnsi="仿宋_GB2312" w:eastAsia="仿宋_GB2312" w:cs="仿宋_GB2312"/>
          <w:b/>
          <w:sz w:val="28"/>
          <w:szCs w:val="28"/>
          <w:highlight w:val="none"/>
        </w:rPr>
        <w:t>22.4工程量计量的程序</w:t>
      </w:r>
      <w:bookmarkEnd w:id="215"/>
    </w:p>
    <w:p w14:paraId="04239A8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⑴承包人应按照23.2款约定的期中结算时间间隔要求，根据本工程进展情况及时就已完工程量向监理人提交计量报告，监理人应在收到计量报告后7天内对承包人提出的工程量报表审核并报送发包人。</w:t>
      </w:r>
    </w:p>
    <w:p w14:paraId="756F29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⑵需要使用记录和图纸进行计量的工程，承包人应在工作过程中准备好该工程的记录和图纸，并提交给监理人，监理人应在收到计量报告后7天内对承包人提出的工程量报表及有关记录和图纸审核并报送发包人。</w:t>
      </w:r>
    </w:p>
    <w:p w14:paraId="7D35068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⑶监理人对工程量有异议的，有权要求承包人进行共同复核或抽样复测。承包人应协助监理人进行复核或抽样复测，并按监理人要求提供补充计量资料。</w:t>
      </w:r>
    </w:p>
    <w:p w14:paraId="445B0C6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⑷有关工程量计量的文件的编制和审核均须经注册造价工程师签字盖章确认。</w:t>
      </w:r>
    </w:p>
    <w:p w14:paraId="6EFC35B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16" w:name="_Toc4379"/>
      <w:r>
        <w:rPr>
          <w:rFonts w:hint="eastAsia" w:ascii="仿宋_GB2312" w:hAnsi="仿宋_GB2312" w:eastAsia="仿宋_GB2312" w:cs="仿宋_GB2312"/>
          <w:b/>
          <w:sz w:val="28"/>
          <w:szCs w:val="28"/>
          <w:highlight w:val="none"/>
        </w:rPr>
        <w:t>22.5工程量计量的结果</w:t>
      </w:r>
      <w:bookmarkEnd w:id="216"/>
    </w:p>
    <w:p w14:paraId="6B4ADEF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⑴如承包人未按22.4款的约定参加计量，则由监理人所作的或由他批准的计量应认为是对工程的正确计量。</w:t>
      </w:r>
    </w:p>
    <w:p w14:paraId="27D80C3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⑵如监理人未在22.4款约定的时间内进行计量，则承包人提交的计量报告中所列工程量即视为被确认。</w:t>
      </w:r>
    </w:p>
    <w:p w14:paraId="5A5CB27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⑶如监理人未按22.4款约定的时间内通知承包人，致使承包人未能参加计量，则由监理人所作的或由他批准的计量结果无效。</w:t>
      </w:r>
    </w:p>
    <w:p w14:paraId="4E5469F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⑷对于因承包人原因造成的超出本合同工程承包范围的增加工程量及返工工程量，监理人不予计量。</w:t>
      </w:r>
    </w:p>
    <w:p w14:paraId="435A800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如承包人不同意监理人计量的结果，应在收到上述结果后7天内向监理人提出书面意见，并附上其认为正确的计量结果和计算资料。监理人收到上述书面意见后，应在7天内对承包人的计量结果进行复核后通知承包人。承包人对复核计量结果仍有异议的，按照合同约定的争议解决办法处理。</w:t>
      </w:r>
    </w:p>
    <w:p w14:paraId="1A15653C">
      <w:pPr>
        <w:pageBreakBefore w:val="0"/>
        <w:kinsoku/>
        <w:overflowPunct/>
        <w:topLinePunct w:val="0"/>
        <w:autoSpaceDE/>
        <w:autoSpaceDN/>
        <w:bidi w:val="0"/>
        <w:adjustRightInd w:val="0"/>
        <w:snapToGrid w:val="0"/>
        <w:spacing w:line="560" w:lineRule="exact"/>
        <w:ind w:left="0" w:leftChars="0" w:right="0" w:rightChars="0" w:firstLine="198"/>
        <w:jc w:val="left"/>
        <w:textAlignment w:val="auto"/>
        <w:outlineLvl w:val="1"/>
        <w:rPr>
          <w:rFonts w:ascii="仿宋_GB2312" w:hAnsi="仿宋_GB2312" w:eastAsia="仿宋_GB2312" w:cs="仿宋_GB2312"/>
          <w:b/>
          <w:bCs/>
          <w:sz w:val="28"/>
          <w:szCs w:val="28"/>
          <w:highlight w:val="none"/>
        </w:rPr>
      </w:pPr>
      <w:bookmarkStart w:id="217" w:name="_Toc30336"/>
      <w:r>
        <w:rPr>
          <w:rFonts w:hint="eastAsia" w:ascii="仿宋_GB2312" w:hAnsi="仿宋_GB2312" w:eastAsia="仿宋_GB2312" w:cs="仿宋_GB2312"/>
          <w:b/>
          <w:bCs/>
          <w:sz w:val="28"/>
          <w:szCs w:val="28"/>
          <w:highlight w:val="none"/>
        </w:rPr>
        <w:t>23.工程款支付</w:t>
      </w:r>
      <w:bookmarkEnd w:id="217"/>
    </w:p>
    <w:p w14:paraId="155C4F8A">
      <w:pPr>
        <w:pageBreakBefore w:val="0"/>
        <w:kinsoku/>
        <w:overflowPunct/>
        <w:topLinePunct w:val="0"/>
        <w:autoSpaceDE/>
        <w:autoSpaceDN/>
        <w:bidi w:val="0"/>
        <w:adjustRightInd w:val="0"/>
        <w:snapToGrid w:val="0"/>
        <w:spacing w:line="560" w:lineRule="exact"/>
        <w:ind w:left="0" w:leftChars="0" w:right="0" w:rightChars="0" w:firstLine="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本项目无须承包人带资施工，工程款按以下方式支付。</w:t>
      </w:r>
    </w:p>
    <w:p w14:paraId="46E9323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18" w:name="_Toc9459"/>
      <w:r>
        <w:rPr>
          <w:rFonts w:hint="eastAsia" w:ascii="仿宋_GB2312" w:hAnsi="仿宋_GB2312" w:eastAsia="仿宋_GB2312" w:cs="仿宋_GB2312"/>
          <w:b/>
          <w:sz w:val="28"/>
          <w:szCs w:val="28"/>
          <w:highlight w:val="none"/>
        </w:rPr>
        <w:t>23.1工程预付款</w:t>
      </w:r>
      <w:bookmarkEnd w:id="218"/>
    </w:p>
    <w:p w14:paraId="7DE7436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⑴发包人和承包人应在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一定比例的工程预付款，用于施工准备，金额一般为签约合同价（不含暂列金额）的10～30%。其中施工现场安全文明措施费预付款金额：合同工期在一年以内的，不得低于该费用总额的50%；合同工期在一年以上的(含一年)，不得低于该费用总额的30%。</w:t>
      </w:r>
    </w:p>
    <w:p w14:paraId="7022FA0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⑵发包人要求承包人提供预付款担保的，承包人应在发包人支付预付款7天前提供预付款担保，</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另有约定除外。预付款担保可采用银行保函、担保公司担保等形式，具体由承发包双方在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w:t>
      </w:r>
    </w:p>
    <w:p w14:paraId="6CFE266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约定的时间向承包人支付工程预付款，预付的时间应不迟于约定的开工日期前7天。但发包人支付预付款之前，还应具备</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约定的条件。发包人不按约定预付的，承包人应在约定预付时间到期后7天内向发包人发出要求预付的通知，发包人收到通知后仍不能按要求预付，承包人可在发出通知14天后停止施工。</w:t>
      </w:r>
    </w:p>
    <w:p w14:paraId="063831C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219" w:name="_Hlk534335794"/>
      <w:r>
        <w:rPr>
          <w:rFonts w:hint="eastAsia" w:ascii="仿宋_GB2312" w:hAnsi="仿宋_GB2312" w:eastAsia="仿宋_GB2312" w:cs="仿宋_GB2312"/>
          <w:sz w:val="28"/>
          <w:szCs w:val="28"/>
          <w:highlight w:val="none"/>
        </w:rPr>
        <w:t>⑷发包人和承包人应在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工程预付款扣回的起扣点和扣回比例。在未达到起扣点之前，预付款不予扣回；达到起扣点之后，预付款按约定比例根据工程进度分期从期中支付款中扣回。预付款的延迟支付及延迟扣回，双方互不支付利息。</w:t>
      </w:r>
      <w:bookmarkEnd w:id="219"/>
    </w:p>
    <w:p w14:paraId="20327EA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0" w:name="_Toc19551"/>
      <w:r>
        <w:rPr>
          <w:rFonts w:hint="eastAsia" w:ascii="仿宋_GB2312" w:hAnsi="仿宋_GB2312" w:eastAsia="仿宋_GB2312" w:cs="仿宋_GB2312"/>
          <w:b/>
          <w:sz w:val="28"/>
          <w:szCs w:val="28"/>
          <w:highlight w:val="none"/>
        </w:rPr>
        <w:t>23.2期中结算</w:t>
      </w:r>
      <w:bookmarkEnd w:id="220"/>
    </w:p>
    <w:p w14:paraId="387B609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另有约定外，发包人和承包人应按月办理期中结算。</w:t>
      </w:r>
    </w:p>
    <w:p w14:paraId="35F7F94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⑵承包人应根据本期内工程实际完成情况，按照22条有关工程量计量的约定，计算本期完成工程量，结合合同价格构成中的工程量清单项目单价，编制期中结算。</w:t>
      </w:r>
    </w:p>
    <w:p w14:paraId="69DD146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1" w:name="_Toc4545"/>
      <w:r>
        <w:rPr>
          <w:rFonts w:hint="eastAsia" w:ascii="仿宋_GB2312" w:hAnsi="仿宋_GB2312" w:eastAsia="仿宋_GB2312" w:cs="仿宋_GB2312"/>
          <w:b/>
          <w:sz w:val="28"/>
          <w:szCs w:val="28"/>
          <w:highlight w:val="none"/>
        </w:rPr>
        <w:t>23.3期中结算书的提交</w:t>
      </w:r>
      <w:bookmarkEnd w:id="221"/>
    </w:p>
    <w:p w14:paraId="0AF4C1B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承包人应按时向监理人提交由其项目经理签署的期中结算书，期中结算书应包括以下内容：</w:t>
      </w:r>
    </w:p>
    <w:p w14:paraId="46CB557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⑴本期已完成工程的价款；</w:t>
      </w:r>
    </w:p>
    <w:p w14:paraId="57291DC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⑵自开工截止本期末累计已完成(已实际结算)工程价款；</w:t>
      </w:r>
    </w:p>
    <w:p w14:paraId="077E727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⑶自开工截止上期末累计已支付的工程价款；</w:t>
      </w:r>
    </w:p>
    <w:p w14:paraId="19CEA1D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⑷本期已完成的(按20.2款经确认的)调整价款；</w:t>
      </w:r>
    </w:p>
    <w:p w14:paraId="662941A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⑸本期已完成的(按21.1、2款经确定的)材料设备、专业工程暂估价价款；</w:t>
      </w:r>
    </w:p>
    <w:p w14:paraId="2AB49FC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⑹本期应抵扣的(按23.1款)工程预付款；</w:t>
      </w:r>
    </w:p>
    <w:p w14:paraId="4371ADC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⑺本期应扣减的(按31.4款)质量保证金；</w:t>
      </w:r>
    </w:p>
    <w:p w14:paraId="08EDA5F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⑻对已签发的进度款支付证书中出现错误的修正，应在本次进度付款中支付或扣除的金额；</w:t>
      </w:r>
    </w:p>
    <w:p w14:paraId="543621B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⑼本期根据合同应增加和扣减的其他金额；</w:t>
      </w:r>
    </w:p>
    <w:p w14:paraId="7749095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⑽本期应支付的工程价款。</w:t>
      </w:r>
    </w:p>
    <w:p w14:paraId="2B7043C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2" w:name="_Toc21217"/>
      <w:r>
        <w:rPr>
          <w:rFonts w:hint="eastAsia" w:ascii="仿宋_GB2312" w:hAnsi="仿宋_GB2312" w:eastAsia="仿宋_GB2312" w:cs="仿宋_GB2312"/>
          <w:b/>
          <w:sz w:val="28"/>
          <w:szCs w:val="28"/>
          <w:highlight w:val="none"/>
        </w:rPr>
        <w:t>23.4期中支付</w:t>
      </w:r>
      <w:bookmarkEnd w:id="222"/>
    </w:p>
    <w:p w14:paraId="128189D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⑴监理人应在收到期中结算书后14天内签发期中支付证书，签发时应写明到期应结算的价款及需要扣留和扣回的价款并报发包人批准。如该期应结算的价款经扣留和扣回后的价款少于</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约定的期中支付的最低金额，则监理人可不签发支付证书，该期工程价款将按期结转，直到累计应支付的价款达到</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约定的期中支付的最低金额为止。累计期中支付价款达到合同价格总额（不含暂列金额）的90%时暂停支付。</w:t>
      </w:r>
    </w:p>
    <w:p w14:paraId="617A010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⑵若承包人未按照23.2⑴款约定的时间提交期中结算书，监理人可自行按照工程实际进度情况编制期中结算书，报发包人批准后签发期中支付证书，承包人对此应予以认可。</w:t>
      </w:r>
    </w:p>
    <w:p w14:paraId="16EBB3B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和监理人对承包人的期中结算书有异议的，有权要求承包人修正和提供补充资料，承包人应提交修正后的期中结算书。监理人应在收到承包人修正后的期中结算书及相关资料后7天内完成审查并报送发包人，发包人应在收到监理人报送的期中结算书及相关资料后7天内，向承包人签发无异议部分的支付证书。存在争议的部分，按照第30条〔争议解决〕的约定处理。</w:t>
      </w:r>
    </w:p>
    <w:p w14:paraId="230F684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14:paraId="3397B29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14:paraId="47C3F51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⑹在对已签发的期中支付证书进行阶段汇总和复核中发现错误、遗漏或重复的，发包人和承包人均有权提出修正申请。经发包人和承包人同意的修正，应在下期进度付款中支付或扣除。</w:t>
      </w:r>
    </w:p>
    <w:p w14:paraId="5861397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⑺上述有关工程款支付的文件的编制和审核均须经注册造价工程师签字盖章确认。</w:t>
      </w:r>
    </w:p>
    <w:p w14:paraId="52034A6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3" w:name="_Toc20254"/>
      <w:r>
        <w:rPr>
          <w:rFonts w:hint="eastAsia" w:ascii="仿宋_GB2312" w:hAnsi="仿宋_GB2312" w:eastAsia="仿宋_GB2312" w:cs="仿宋_GB2312"/>
          <w:b/>
          <w:sz w:val="28"/>
          <w:szCs w:val="28"/>
          <w:highlight w:val="none"/>
        </w:rPr>
        <w:t>23.5</w:t>
      </w:r>
      <w:r>
        <w:rPr>
          <w:rFonts w:hint="eastAsia" w:ascii="仿宋_GB2312" w:hAnsi="仿宋_GB2312" w:eastAsia="仿宋_GB2312" w:cs="仿宋_GB2312"/>
          <w:b/>
          <w:sz w:val="28"/>
          <w:szCs w:val="28"/>
          <w:highlight w:val="none"/>
          <w:lang w:eastAsia="zh-CN"/>
        </w:rPr>
        <w:t>工人工资</w:t>
      </w:r>
      <w:r>
        <w:rPr>
          <w:rFonts w:hint="eastAsia" w:ascii="仿宋_GB2312" w:hAnsi="仿宋_GB2312" w:eastAsia="仿宋_GB2312" w:cs="仿宋_GB2312"/>
          <w:b/>
          <w:sz w:val="28"/>
          <w:szCs w:val="28"/>
          <w:highlight w:val="none"/>
        </w:rPr>
        <w:t>支付</w:t>
      </w:r>
      <w:bookmarkEnd w:id="223"/>
    </w:p>
    <w:p w14:paraId="0B70CEE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发包人和承包人应按照《国务院关于解决农民工若干问题的意见》、《建设领域农民工工资支付管理暂行办法》和深圳市建设行政主管部门的相关规定，在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w:t>
      </w:r>
      <w:r>
        <w:rPr>
          <w:rFonts w:hint="eastAsia" w:ascii="仿宋_GB2312" w:hAnsi="仿宋_GB2312" w:eastAsia="仿宋_GB2312" w:cs="仿宋_GB2312"/>
          <w:sz w:val="28"/>
          <w:szCs w:val="28"/>
          <w:highlight w:val="none"/>
          <w:lang w:eastAsia="zh-CN"/>
        </w:rPr>
        <w:t>工人工资</w:t>
      </w:r>
      <w:r>
        <w:rPr>
          <w:rFonts w:hint="eastAsia" w:ascii="仿宋_GB2312" w:hAnsi="仿宋_GB2312" w:eastAsia="仿宋_GB2312" w:cs="仿宋_GB2312"/>
          <w:sz w:val="28"/>
          <w:szCs w:val="28"/>
          <w:highlight w:val="none"/>
        </w:rPr>
        <w:t>支付方式，保障工人工资及时支付和足额发放。</w:t>
      </w:r>
    </w:p>
    <w:p w14:paraId="3A53880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4" w:name="_Toc317"/>
      <w:r>
        <w:rPr>
          <w:rFonts w:hint="eastAsia" w:ascii="仿宋_GB2312" w:hAnsi="仿宋_GB2312" w:eastAsia="仿宋_GB2312" w:cs="仿宋_GB2312"/>
          <w:b/>
          <w:sz w:val="28"/>
          <w:szCs w:val="28"/>
          <w:highlight w:val="none"/>
        </w:rPr>
        <w:t>23.6工程款专款专用</w:t>
      </w:r>
      <w:bookmarkEnd w:id="224"/>
    </w:p>
    <w:p w14:paraId="1089BE1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本工程发包人支付给承包人的工程款都应当专款专用，承包人不得擅自改变任何款项的使用性质。发包人有权检查承包人工程款的使用情况(包括但不限于工程预付款、材料款、分包工程款、劳务分包价款（</w:t>
      </w:r>
      <w:r>
        <w:rPr>
          <w:rFonts w:hint="eastAsia" w:ascii="仿宋_GB2312" w:hAnsi="仿宋_GB2312" w:eastAsia="仿宋_GB2312" w:cs="仿宋_GB2312"/>
          <w:sz w:val="28"/>
          <w:szCs w:val="28"/>
          <w:highlight w:val="none"/>
          <w:lang w:eastAsia="zh-CN"/>
        </w:rPr>
        <w:t>工人工资</w:t>
      </w:r>
      <w:r>
        <w:rPr>
          <w:rFonts w:hint="eastAsia" w:ascii="仿宋_GB2312" w:hAnsi="仿宋_GB2312" w:eastAsia="仿宋_GB2312" w:cs="仿宋_GB2312"/>
          <w:sz w:val="28"/>
          <w:szCs w:val="28"/>
          <w:highlight w:val="none"/>
        </w:rPr>
        <w:t>）、安全文明措施费等款项)，发包人还可以采取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约定的措施对承包人的工程款使用情况进行监管。</w:t>
      </w:r>
    </w:p>
    <w:p w14:paraId="35D129BC">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25" w:name="_Toc1356"/>
      <w:r>
        <w:rPr>
          <w:rFonts w:hint="eastAsia" w:ascii="仿宋_GB2312" w:hAnsi="仿宋_GB2312" w:eastAsia="仿宋_GB2312" w:cs="仿宋_GB2312"/>
          <w:b/>
          <w:bCs/>
          <w:sz w:val="28"/>
          <w:szCs w:val="28"/>
          <w:highlight w:val="none"/>
        </w:rPr>
        <w:t>24.工程变更</w:t>
      </w:r>
      <w:bookmarkEnd w:id="225"/>
    </w:p>
    <w:p w14:paraId="7121129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6" w:name="_Toc15629"/>
      <w:r>
        <w:rPr>
          <w:rFonts w:hint="eastAsia" w:ascii="仿宋_GB2312" w:hAnsi="仿宋_GB2312" w:eastAsia="仿宋_GB2312" w:cs="仿宋_GB2312"/>
          <w:b/>
          <w:sz w:val="28"/>
          <w:szCs w:val="28"/>
          <w:highlight w:val="none"/>
        </w:rPr>
        <w:t>24.1工程变更的范围</w:t>
      </w:r>
      <w:bookmarkEnd w:id="226"/>
    </w:p>
    <w:p w14:paraId="516AA66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在施工过程中，出现以下情况，视为工程变更：</w:t>
      </w:r>
    </w:p>
    <w:p w14:paraId="172EADA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⑴本工程图纸包括的任何工作内容的数量、质量或其他特征的改变；</w:t>
      </w:r>
    </w:p>
    <w:p w14:paraId="27C6502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⑵本工程技术规范内容或要求的改变；</w:t>
      </w:r>
    </w:p>
    <w:p w14:paraId="675AC18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⑶本工程任何部分的标高、线形、位置和尺寸的改变；</w:t>
      </w:r>
    </w:p>
    <w:p w14:paraId="3AE5D74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⑷本工程任何部分施工的约定顺序或时间安排的改变；</w:t>
      </w:r>
    </w:p>
    <w:p w14:paraId="056D55D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⑸为进行工程变更需要的任何附加工作、材料或设备。</w:t>
      </w:r>
    </w:p>
    <w:p w14:paraId="3B9A1F7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7" w:name="_Toc20588"/>
      <w:r>
        <w:rPr>
          <w:rFonts w:hint="eastAsia" w:ascii="仿宋_GB2312" w:hAnsi="仿宋_GB2312" w:eastAsia="仿宋_GB2312" w:cs="仿宋_GB2312"/>
          <w:b/>
          <w:sz w:val="28"/>
          <w:szCs w:val="28"/>
          <w:highlight w:val="none"/>
        </w:rPr>
        <w:t>24.2变更权</w:t>
      </w:r>
      <w:bookmarkEnd w:id="227"/>
    </w:p>
    <w:p w14:paraId="6D2D40D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14:paraId="5625BF4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⑵涉及设计变更的，应由设计人提供变更后的图纸和说明。</w:t>
      </w:r>
    </w:p>
    <w:p w14:paraId="44B2A9A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8" w:name="_Toc4886"/>
      <w:r>
        <w:rPr>
          <w:rFonts w:hint="eastAsia" w:ascii="仿宋_GB2312" w:hAnsi="仿宋_GB2312" w:eastAsia="仿宋_GB2312" w:cs="仿宋_GB2312"/>
          <w:b/>
          <w:sz w:val="28"/>
          <w:szCs w:val="28"/>
          <w:highlight w:val="none"/>
        </w:rPr>
        <w:t>24.3工程变更程序</w:t>
      </w:r>
      <w:bookmarkEnd w:id="228"/>
    </w:p>
    <w:p w14:paraId="4C893AD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工程变更应按以下程序及</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的约定办理，并由监理人提前14天向承包人发出变更指令。</w:t>
      </w:r>
    </w:p>
    <w:p w14:paraId="0842922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⑴发包人提出变更建议，经监理人审核，涉及施工图调整时应经设计人同意并提交相应变更设计；</w:t>
      </w:r>
    </w:p>
    <w:p w14:paraId="6DA1C71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⑵设计人提出变更建议，涉及施工图调整时应提交相应变更设计，经监理人审核并报发包人同意；</w:t>
      </w:r>
    </w:p>
    <w:p w14:paraId="2039E9C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⑶监理人提出变更建议，涉及施工图调整时应经设计人同意并提交相应变更设计，报发包人同意；</w:t>
      </w:r>
    </w:p>
    <w:p w14:paraId="03C962F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⑷承包人提出变更建议，涉及施工图调整时应经设计人同意并提交相应变更设计，经监理人审核并报发包人同意；</w:t>
      </w:r>
    </w:p>
    <w:p w14:paraId="47D3CAD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⑸以上变更建议涉及到结构、外墙等影响本工程及公众安全的，必须经设计人同意并提交相应变更设计；</w:t>
      </w:r>
    </w:p>
    <w:p w14:paraId="7288B9D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⑹以上变更超过原设计标准或批准的建设规模需要有关部门审批时，发包人应在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约定期限内报规划管理部门和其他有关部门重新审查批准，并提供由设计人出具的相应变更设计。</w:t>
      </w:r>
    </w:p>
    <w:p w14:paraId="1E14EDF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29" w:name="_Toc3767"/>
      <w:r>
        <w:rPr>
          <w:rFonts w:hint="eastAsia" w:ascii="仿宋_GB2312" w:hAnsi="仿宋_GB2312" w:eastAsia="仿宋_GB2312" w:cs="仿宋_GB2312"/>
          <w:b/>
          <w:sz w:val="28"/>
          <w:szCs w:val="28"/>
          <w:highlight w:val="none"/>
        </w:rPr>
        <w:t>24.4其他变更</w:t>
      </w:r>
      <w:bookmarkEnd w:id="229"/>
    </w:p>
    <w:p w14:paraId="69B7000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⑴如发出本工程变更指令是因为承包人过错、承包人违反本合同等造成的，则由此引起的任何额外费用由承包人承担。</w:t>
      </w:r>
    </w:p>
    <w:p w14:paraId="3630A7B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如承包人为了便于组织施工，或为了施工安全、避免干扰等原因需采取相应的技术措施而提出的局部变更设计，除须得到监理人的批准外，由此而增加的费用由承包人自行负担。因承包人擅自变更设计发生的费用和由此导致发包人的直接损失，由承包人承担，延误的工期不予顺延。</w:t>
      </w:r>
    </w:p>
    <w:p w14:paraId="7E5B2A3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0" w:name="_Toc25383"/>
      <w:r>
        <w:rPr>
          <w:rFonts w:hint="eastAsia" w:ascii="仿宋_GB2312" w:hAnsi="仿宋_GB2312" w:eastAsia="仿宋_GB2312" w:cs="仿宋_GB2312"/>
          <w:b/>
          <w:sz w:val="28"/>
          <w:szCs w:val="28"/>
          <w:highlight w:val="none"/>
        </w:rPr>
        <w:t>24.5计日工现场签证</w:t>
      </w:r>
      <w:bookmarkEnd w:id="230"/>
    </w:p>
    <w:p w14:paraId="28BC6AE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在本工程施工过程中，承包人完成发包人或监理人提出的施工图以外的零星项目或工作，其价款按列入已标价工程量清单或预算书中的计日工计价项目及其单价进行计算；已标价工程量清单或预算书中无相应的计日工单价的，按照合理的成本与利润构成的原则，由承发包双方协商确定变更工作的单价，协商不成的，按第30条［争议解决］的约定处理。</w:t>
      </w:r>
    </w:p>
    <w:p w14:paraId="7C6A0B1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或监理人如认为必要时，可以指令承包人按计日工完成工作。对所有按计日工方式施工的工程，承包人应在该工程持续进行过程中，每天向监理人提交以下报表及有关凭证一式两份，经监理人确认签字后，退还其中一份给承包人：</w:t>
      </w:r>
    </w:p>
    <w:p w14:paraId="7DF0A44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①工作名称、内容和数量；</w:t>
      </w:r>
    </w:p>
    <w:p w14:paraId="7866008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②投入该工作的所有人员的姓名、专业、工种、级别和耗用工时；</w:t>
      </w:r>
    </w:p>
    <w:p w14:paraId="6BA453D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③投入该工作的材料类别和数量；</w:t>
      </w:r>
    </w:p>
    <w:p w14:paraId="78C6B21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④投入该工作的施工设备型号和耗用台班；</w:t>
      </w:r>
    </w:p>
    <w:p w14:paraId="3EDB868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⑤其他有关资料和凭证。</w:t>
      </w:r>
    </w:p>
    <w:p w14:paraId="4F34CC5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⑶在期中结算的同时，承包人应按照监理人确认的本期累计所用劳务、材料和承包人装备的数量，向监理人申报本期所用计日工费用，经监理人审核并报发包人确认后，与期中支付同期支付。</w:t>
      </w:r>
    </w:p>
    <w:p w14:paraId="306B922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1" w:name="_Toc6476"/>
      <w:r>
        <w:rPr>
          <w:rFonts w:hint="eastAsia" w:ascii="仿宋_GB2312" w:hAnsi="仿宋_GB2312" w:eastAsia="仿宋_GB2312" w:cs="仿宋_GB2312"/>
          <w:b/>
          <w:sz w:val="28"/>
          <w:szCs w:val="28"/>
          <w:highlight w:val="none"/>
        </w:rPr>
        <w:t>24.6价值工程</w:t>
      </w:r>
      <w:bookmarkEnd w:id="231"/>
    </w:p>
    <w:p w14:paraId="5051ED2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⑴施工过程中承包人可随时提出其认为可满足下列要求的合理化建议：</w:t>
      </w:r>
    </w:p>
    <w:p w14:paraId="2B08164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①使本工程提前竣工；</w:t>
      </w:r>
    </w:p>
    <w:p w14:paraId="6A628EF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②降低发包人的工程施工、维护或运营的费用；</w:t>
      </w:r>
    </w:p>
    <w:p w14:paraId="7AA2D13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③提高本工程的价值；</w:t>
      </w:r>
    </w:p>
    <w:p w14:paraId="55A538A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④为发包人带来其它利益。</w:t>
      </w:r>
    </w:p>
    <w:p w14:paraId="296EDD4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监理人收到此类建议后，应尽快提出针对性的回复，在此期间，承包人应继续按照本合同约定进行相应工作。若该合理化建议涉及到对设计图纸或施工组织设计的更改及对材料、设备的换用，须经监理人审查并报经发包人批准。未经批准擅自更改或换用时，承包人承担由此发生的费用，并赔偿发包人的有关损失，延误的工期不予顺延。</w:t>
      </w:r>
    </w:p>
    <w:p w14:paraId="00551E6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⑶若发包人同意采用承包人合理化建议，所发生的费用和获得的收益，发包人和承包人按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的约定分担或分享。</w:t>
      </w:r>
    </w:p>
    <w:p w14:paraId="0DA6F57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2" w:name="_Toc46"/>
      <w:r>
        <w:rPr>
          <w:rFonts w:hint="eastAsia" w:ascii="仿宋_GB2312" w:hAnsi="仿宋_GB2312" w:eastAsia="仿宋_GB2312" w:cs="仿宋_GB2312"/>
          <w:b/>
          <w:sz w:val="28"/>
          <w:szCs w:val="28"/>
          <w:highlight w:val="none"/>
        </w:rPr>
        <w:t>24.7变更引起的工期调整</w:t>
      </w:r>
      <w:bookmarkEnd w:id="232"/>
    </w:p>
    <w:p w14:paraId="790359C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因变更引起工期变化的，承发包双方均可要求调整合同工期，由承发包双方参考工期定额标准协商确定增减工期天数。</w:t>
      </w:r>
    </w:p>
    <w:p w14:paraId="4C337B91">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33" w:name="_Toc1158"/>
      <w:r>
        <w:rPr>
          <w:rFonts w:hint="eastAsia" w:ascii="仿宋_GB2312" w:hAnsi="仿宋_GB2312" w:eastAsia="仿宋_GB2312" w:cs="仿宋_GB2312"/>
          <w:b/>
          <w:bCs/>
          <w:sz w:val="28"/>
          <w:szCs w:val="28"/>
          <w:highlight w:val="none"/>
        </w:rPr>
        <w:t>25.工程变更价款</w:t>
      </w:r>
      <w:bookmarkEnd w:id="233"/>
    </w:p>
    <w:p w14:paraId="65C6CD7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4" w:name="_Toc3507"/>
      <w:r>
        <w:rPr>
          <w:rFonts w:hint="eastAsia" w:ascii="仿宋_GB2312" w:hAnsi="仿宋_GB2312" w:eastAsia="仿宋_GB2312" w:cs="仿宋_GB2312"/>
          <w:b/>
          <w:sz w:val="28"/>
          <w:szCs w:val="28"/>
          <w:highlight w:val="none"/>
        </w:rPr>
        <w:t>25.1工程变更价款的确定方法</w:t>
      </w:r>
      <w:bookmarkEnd w:id="234"/>
    </w:p>
    <w:p w14:paraId="6366652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⑴合同价格构成中的工程量清单项目单价中已有适用于变更工程的项目单价，按已有的项目单价确定变更价款。</w:t>
      </w:r>
    </w:p>
    <w:p w14:paraId="0F702AB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⑵合同价格构成中的工程量清单项目单价中只有类似于变更工程的项目单价，可以参照类似项目单价确定变更价款。除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另有约定外，类似项目是指采用的材料、施工工艺和方法基本相似，不增加关键线路上工程的施工时间的项目。</w:t>
      </w:r>
    </w:p>
    <w:p w14:paraId="7043CAE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⑶合同价格构成中的工程量清单项目单价中没有适用或类似于变更工程的项目单价，除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另有约定外，发包人和承包人应按照本工程招标控制价的编制方法，根据工程变更资料、市工程造价管理机构发布的计价标准、价格信息计算，并按本工程净下浮率进行下浮调整确定该工程变更价款。</w:t>
      </w:r>
    </w:p>
    <w:p w14:paraId="7A0A83A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⑷如工程变更造成工程量清单中某项目的工程量增减超过15%或承发包双方在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中约定的幅度时，其项目单价按第25.4款执行。</w:t>
      </w:r>
    </w:p>
    <w:p w14:paraId="61F3726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5" w:name="_Toc11264"/>
      <w:r>
        <w:rPr>
          <w:rFonts w:hint="eastAsia" w:ascii="仿宋_GB2312" w:hAnsi="仿宋_GB2312" w:eastAsia="仿宋_GB2312" w:cs="仿宋_GB2312"/>
          <w:b/>
          <w:sz w:val="28"/>
          <w:szCs w:val="28"/>
          <w:highlight w:val="none"/>
        </w:rPr>
        <w:t>25.2工程变更引起措施项目的调整</w:t>
      </w:r>
      <w:bookmarkEnd w:id="235"/>
    </w:p>
    <w:p w14:paraId="02C0082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⑴当工程变更引起措施项目发生变化，造成施工组织设计或施工方案变更时，承包人有权提出调整措施项目费。</w:t>
      </w:r>
    </w:p>
    <w:p w14:paraId="18D1D13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⑵承包人提出调整措施项目费的，应事先将拟实施的方案提交监理人确认，并详细说明与原方案措施项目的变化情况。拟实施的方案经监理人认可，并报发包人批准后执行。</w:t>
      </w:r>
    </w:p>
    <w:p w14:paraId="5076DD3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另有约定外，工程变更引起的措施项目费调整的计算方法为：</w:t>
      </w:r>
    </w:p>
    <w:p w14:paraId="53819A3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①采用单价计算的措施项目费，按照实际发生变化的措施项目，按第25.1款［工程变更价款的确定方法］约定的方法确定单价；</w:t>
      </w:r>
    </w:p>
    <w:p w14:paraId="26D953F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②除安全文明施工措施费外，采用以“项”计量计价的措施项目费，按照实际发生变化的措施项目以原措施费的组价方法调整；</w:t>
      </w:r>
    </w:p>
    <w:p w14:paraId="28ECF1D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③安全文明施工措施费计算基数发生变化超过5%的，按照《深圳市建设工程计价规程》规定的计算方法进行调整。</w:t>
      </w:r>
    </w:p>
    <w:p w14:paraId="63160EA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6" w:name="_Toc28240"/>
      <w:r>
        <w:rPr>
          <w:rFonts w:hint="eastAsia" w:ascii="仿宋_GB2312" w:hAnsi="仿宋_GB2312" w:eastAsia="仿宋_GB2312" w:cs="仿宋_GB2312"/>
          <w:b/>
          <w:sz w:val="28"/>
          <w:szCs w:val="28"/>
          <w:highlight w:val="none"/>
        </w:rPr>
        <w:t>25.3工程变更价款的确定程序</w:t>
      </w:r>
      <w:bookmarkEnd w:id="236"/>
    </w:p>
    <w:p w14:paraId="3D27A72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另有约定外，发包人和承包人应按以下程序确认工程变更价款：</w:t>
      </w:r>
    </w:p>
    <w:p w14:paraId="747DB1B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⑴承包人应在收到工程变更指令后14天内将变更工程价款和(或)调整工期报告提交给监理人，监理人应及时予以确认，并报发包人批准。</w:t>
      </w:r>
    </w:p>
    <w:p w14:paraId="44CE072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在收到工程变更指令后14天内不向监理人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14:paraId="0168B8C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⑶工程变更指令发出后，发包人与承包人均未在约定时间内提出变更工程价款和(或)顺延工期报告的，视为该项工程变更不涉及合同价格和(或)工期的调整。</w:t>
      </w:r>
    </w:p>
    <w:p w14:paraId="77EAC53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7" w:name="_Toc12202"/>
      <w:r>
        <w:rPr>
          <w:rFonts w:hint="eastAsia" w:ascii="仿宋_GB2312" w:hAnsi="仿宋_GB2312" w:eastAsia="仿宋_GB2312" w:cs="仿宋_GB2312"/>
          <w:b/>
          <w:sz w:val="28"/>
          <w:szCs w:val="28"/>
          <w:highlight w:val="none"/>
        </w:rPr>
        <w:t>25.4工程量变化调整项目单价</w:t>
      </w:r>
      <w:bookmarkEnd w:id="237"/>
    </w:p>
    <w:p w14:paraId="397C768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由于工程变更或按第22条工程量计量结果造成工程量清单中某项目的工程量增减超过15%或发、承包人在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中约定的幅度时，除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和承包人应按照本工程招标控制价的编制方法，根据深圳市工程造价管理机构发布的计价标准、价格信息计算，并按本工程中标净下浮率进行下浮调整确定该清单项目增加部分或减少后剩余部分工程量的项目单价。</w:t>
      </w:r>
    </w:p>
    <w:p w14:paraId="078845B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8" w:name="_Toc29421"/>
      <w:r>
        <w:rPr>
          <w:rFonts w:hint="eastAsia" w:ascii="仿宋_GB2312" w:hAnsi="仿宋_GB2312" w:eastAsia="仿宋_GB2312" w:cs="仿宋_GB2312"/>
          <w:b/>
          <w:sz w:val="28"/>
          <w:szCs w:val="28"/>
          <w:highlight w:val="none"/>
        </w:rPr>
        <w:t>25.5工程变更价款支付</w:t>
      </w:r>
      <w:bookmarkEnd w:id="238"/>
    </w:p>
    <w:p w14:paraId="1E0F897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⑴按第25.1、25.2款确认的增(减)工程变更价款作为追加(减)合同价款，与工程进度款同期同比例支付，达到追加(减)合同价款的一定比例时暂停支付，该比例在合同</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中明确。</w:t>
      </w:r>
    </w:p>
    <w:p w14:paraId="27A5B68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⑵有关工程变更价款的文件的编制和审核均须经注册造价工程师签字盖章确认。</w:t>
      </w:r>
    </w:p>
    <w:p w14:paraId="22A0CD1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39" w:name="_Toc29345"/>
      <w:r>
        <w:rPr>
          <w:rFonts w:hint="eastAsia" w:ascii="仿宋_GB2312" w:hAnsi="仿宋_GB2312" w:eastAsia="仿宋_GB2312" w:cs="仿宋_GB2312"/>
          <w:b/>
          <w:sz w:val="28"/>
          <w:szCs w:val="28"/>
          <w:highlight w:val="none"/>
        </w:rPr>
        <w:t>25.6删减工作或工程的补偿</w:t>
      </w:r>
      <w:bookmarkEnd w:id="239"/>
    </w:p>
    <w:p w14:paraId="10C85B6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约定的方法给予承包人补偿。</w:t>
      </w:r>
    </w:p>
    <w:p w14:paraId="070367A4">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40" w:name="_Toc14528"/>
      <w:r>
        <w:rPr>
          <w:rFonts w:hint="eastAsia" w:ascii="仿宋_GB2312" w:hAnsi="仿宋_GB2312" w:eastAsia="仿宋_GB2312" w:cs="仿宋_GB2312"/>
          <w:b/>
          <w:bCs/>
          <w:sz w:val="28"/>
          <w:szCs w:val="28"/>
          <w:highlight w:val="none"/>
        </w:rPr>
        <w:t>26.竣工验收</w:t>
      </w:r>
      <w:bookmarkEnd w:id="240"/>
    </w:p>
    <w:p w14:paraId="7D875E1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1" w:name="_Toc29093"/>
      <w:r>
        <w:rPr>
          <w:rFonts w:hint="eastAsia" w:ascii="仿宋_GB2312" w:hAnsi="仿宋_GB2312" w:eastAsia="仿宋_GB2312" w:cs="仿宋_GB2312"/>
          <w:b/>
          <w:sz w:val="28"/>
          <w:szCs w:val="28"/>
          <w:highlight w:val="none"/>
        </w:rPr>
        <w:t>26.1竣工验收</w:t>
      </w:r>
      <w:bookmarkEnd w:id="241"/>
    </w:p>
    <w:p w14:paraId="7083EAE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⑴工程具备以下条件的，承包人可以申请竣工验收：</w:t>
      </w:r>
    </w:p>
    <w:p w14:paraId="1278E92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①除发包人同意的甩项工作和缺陷修补工作外，合同范围内的全部工程以及有关工作，包括合同要求的试验、试运行以及检验均已完成，并符合合同要求；</w:t>
      </w:r>
    </w:p>
    <w:p w14:paraId="742FD04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②已按合同约定编制了甩项工作和缺陷修补工作清单以及相应的施工计划；</w:t>
      </w:r>
    </w:p>
    <w:p w14:paraId="3B8F8E5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③已按合同约定的内容和份数备齐竣工资料。</w:t>
      </w:r>
    </w:p>
    <w:p w14:paraId="71492FF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⑵工程具备竣工验收条件后21天内，承包人应按工程竣工验收的有关规定和</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的约定向监理人申请竣工验收并提供竣工资料(如项目经理任命通知书、施工组织设计方案、施工质量技术交底、施工日志、各种验收记录表和检测报告、工程变更资料、工程质量事故处理报告、竣工图纸等)。</w:t>
      </w:r>
    </w:p>
    <w:p w14:paraId="263FF8A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⑶监理人审查后认为尚不具备验收条件的，应通知承包人在竣工验收前承包人还需完成的工作内容，承包人应在完成监理人通知的全部工作内容后，再次提交竣工验收申请报告。</w:t>
      </w:r>
    </w:p>
    <w:p w14:paraId="35FF0B3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⑷监理人审查后认为已具备竣工验收条件的，应将竣工验收申请报告提交发包人，发包人应在收到经监理人审核的竣工验收申请报告后28天内审批完毕并组织监理人、承包人、设计人等相关单位完成竣工验收。</w:t>
      </w:r>
    </w:p>
    <w:p w14:paraId="76ED0AF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⑸发包人收到承包人提交的竣工验收申请后21天内不组织竣工验收，或竣工验收工作完毕后7天内不提出修改意见，均视为本工程通过竣工验收。发包人应承担此后本工程的一切保管责任。</w:t>
      </w:r>
    </w:p>
    <w:p w14:paraId="2A71636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⑹本工程未经竣工验收或竣工验收未通过的，发包人不得使用。如发包人擅自使用，由此发生的质量问题及其他问题，由发包人承担责任，并承担此后本工程的一切保管责任。</w:t>
      </w:r>
    </w:p>
    <w:p w14:paraId="72B056B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⑺根据</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的约定，本工程中某单项工程须单独进行竣工验收的，按本条有关竣工验收规定办理。</w:t>
      </w:r>
    </w:p>
    <w:p w14:paraId="0A3287E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2" w:name="_Toc21599"/>
      <w:r>
        <w:rPr>
          <w:rFonts w:hint="eastAsia" w:ascii="仿宋_GB2312" w:hAnsi="仿宋_GB2312" w:eastAsia="仿宋_GB2312" w:cs="仿宋_GB2312"/>
          <w:b/>
          <w:sz w:val="28"/>
          <w:szCs w:val="28"/>
          <w:highlight w:val="none"/>
        </w:rPr>
        <w:t>26.2竣工验收合格后的移交和清理</w:t>
      </w:r>
      <w:bookmarkEnd w:id="242"/>
    </w:p>
    <w:p w14:paraId="27CE6A3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承包人无正当理由不移交工程的，承包人应承担工程照管、成品保护、保管等与工程有关的各项费用，承发包双方可以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中另行约定承包人无正当理由不移交工程的违约责任。</w:t>
      </w:r>
    </w:p>
    <w:p w14:paraId="0D1F8AF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在签发交接证书后，承包人应从施工现场清理并运出承包人装备、剩余材料设备、垃圾和各种临时工程，保持整个现场及工程整洁，达到竣工使用状态。如承包人未在发包人或监理人允许的合理时间内把所有的承包人装备、剩余材料设备、垃圾及各种临时工程运走，则发包人可以：</w:t>
      </w:r>
    </w:p>
    <w:p w14:paraId="04F84DB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①委托他人将承包人装备、剩余材料及承包人的其他财产觅地存放；</w:t>
      </w:r>
    </w:p>
    <w:p w14:paraId="458D680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②委托他人清除并运走垃圾、废料。</w:t>
      </w:r>
    </w:p>
    <w:p w14:paraId="1E83172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因上述工作而发生的费用由承包人承担，发包人可从应付承包人的任何款项内扣除。</w:t>
      </w:r>
    </w:p>
    <w:p w14:paraId="2BA9C74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⑶发包人无正当理由不接收工程的，发包人自应当接收工程之日起，承担工程照管、成品保护、保管等与工程有关的各项费用，承发包双方可以在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中另行约定发包人逾期接收工程的违约责任。</w:t>
      </w:r>
    </w:p>
    <w:p w14:paraId="3A5E2B6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3" w:name="_Toc13923"/>
      <w:r>
        <w:rPr>
          <w:rFonts w:hint="eastAsia" w:ascii="仿宋_GB2312" w:hAnsi="仿宋_GB2312" w:eastAsia="仿宋_GB2312" w:cs="仿宋_GB2312"/>
          <w:b/>
          <w:sz w:val="28"/>
          <w:szCs w:val="28"/>
          <w:highlight w:val="none"/>
        </w:rPr>
        <w:t>26.3竣工验收质量不合格和重新验收</w:t>
      </w:r>
      <w:bookmarkEnd w:id="243"/>
    </w:p>
    <w:p w14:paraId="0FA46E0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⑴如本工程竣工验收质量未达到合同约定的标准，承包人应按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122C446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如本工程竣工验收质量未达到合同约定的标准，监理人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p>
    <w:p w14:paraId="74764F2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4" w:name="_Toc6768"/>
      <w:r>
        <w:rPr>
          <w:rFonts w:hint="eastAsia" w:ascii="仿宋_GB2312" w:hAnsi="仿宋_GB2312" w:eastAsia="仿宋_GB2312" w:cs="仿宋_GB2312"/>
          <w:b/>
          <w:sz w:val="28"/>
          <w:szCs w:val="28"/>
          <w:highlight w:val="none"/>
        </w:rPr>
        <w:t>26.4竣工日期</w:t>
      </w:r>
      <w:bookmarkEnd w:id="244"/>
    </w:p>
    <w:p w14:paraId="6A5E2E9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5BD1307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5" w:name="_Toc5614"/>
      <w:r>
        <w:rPr>
          <w:rFonts w:hint="eastAsia" w:ascii="仿宋_GB2312" w:hAnsi="仿宋_GB2312" w:eastAsia="仿宋_GB2312" w:cs="仿宋_GB2312"/>
          <w:b/>
          <w:sz w:val="28"/>
          <w:szCs w:val="28"/>
          <w:highlight w:val="none"/>
        </w:rPr>
        <w:t>26.5拒绝接收全部或部分工程</w:t>
      </w:r>
      <w:bookmarkEnd w:id="245"/>
    </w:p>
    <w:p w14:paraId="0175F51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BC33DA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6" w:name="_Toc6834"/>
      <w:r>
        <w:rPr>
          <w:rFonts w:hint="eastAsia" w:ascii="仿宋_GB2312" w:hAnsi="仿宋_GB2312" w:eastAsia="仿宋_GB2312" w:cs="仿宋_GB2312"/>
          <w:b/>
          <w:sz w:val="28"/>
          <w:szCs w:val="28"/>
          <w:highlight w:val="none"/>
        </w:rPr>
        <w:t>26.6竣工验收工程质量争议处理</w:t>
      </w:r>
      <w:bookmarkEnd w:id="246"/>
    </w:p>
    <w:p w14:paraId="15B0866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除发包人同意降低合同约定的质量标准接收工程(但不得低于国家强制性质量标准)外，发包人对工程质量有异议，拒不签发工程交接证书的，发包人与承包人应将此质量争议共同委托</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约定的有资质的质量检测鉴定机构进行检测。若质量检测合格，检测费用由发包人承担；若质量检测不合格，检测费用由承包人承担，并同时负责无偿修复此质量缺陷。</w:t>
      </w:r>
    </w:p>
    <w:p w14:paraId="2EA83BC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7" w:name="_Toc7194"/>
      <w:r>
        <w:rPr>
          <w:rFonts w:hint="eastAsia" w:ascii="仿宋_GB2312" w:hAnsi="仿宋_GB2312" w:eastAsia="仿宋_GB2312" w:cs="仿宋_GB2312"/>
          <w:b/>
          <w:sz w:val="28"/>
          <w:szCs w:val="28"/>
          <w:highlight w:val="none"/>
        </w:rPr>
        <w:t>26.7履约评价与优质优价</w:t>
      </w:r>
      <w:bookmarkEnd w:id="247"/>
    </w:p>
    <w:p w14:paraId="7DF7AEC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⑴发包人对承包人的履约评价具体按建设行政主管部门履约评价办法进行，并按照</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中的约定对承包人进行履约评价。</w:t>
      </w:r>
    </w:p>
    <w:p w14:paraId="3663228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⑵本工程实行优质优价，发包人与承包人应在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中约定履约评价奖励及工程创优的奖励办法。</w:t>
      </w:r>
    </w:p>
    <w:p w14:paraId="24E02E3D">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48" w:name="_Toc18550"/>
      <w:r>
        <w:rPr>
          <w:rFonts w:hint="eastAsia" w:ascii="仿宋_GB2312" w:hAnsi="仿宋_GB2312" w:eastAsia="仿宋_GB2312" w:cs="仿宋_GB2312"/>
          <w:b/>
          <w:bCs/>
          <w:sz w:val="28"/>
          <w:szCs w:val="28"/>
          <w:highlight w:val="none"/>
        </w:rPr>
        <w:t>27.竣工结算</w:t>
      </w:r>
      <w:bookmarkEnd w:id="248"/>
    </w:p>
    <w:p w14:paraId="5F6C040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49" w:name="_Toc21143"/>
      <w:r>
        <w:rPr>
          <w:rFonts w:hint="eastAsia" w:ascii="仿宋_GB2312" w:hAnsi="仿宋_GB2312" w:eastAsia="仿宋_GB2312" w:cs="仿宋_GB2312"/>
          <w:b/>
          <w:sz w:val="28"/>
          <w:szCs w:val="28"/>
          <w:highlight w:val="none"/>
        </w:rPr>
        <w:t>27.1竣工结算书的编制和提交</w:t>
      </w:r>
      <w:bookmarkEnd w:id="249"/>
    </w:p>
    <w:p w14:paraId="40CEF9F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应按照第20.1款约定的签约合同价和第20.2款约定的合同价格调整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发包人与承包人开展施工过程结算的，双方确认的过程结算文件将作为竣工结算资料的组成部分，具体在专用条款约定。</w:t>
      </w:r>
    </w:p>
    <w:p w14:paraId="697222F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⑵工程竣工验收合格后，在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约定的时间内，承包人应向发包人提交竣工结算书及完整的结算资料。政府投资项目应按《深圳经济特区政府投资项目管理条例》等相关规定执行。</w:t>
      </w:r>
    </w:p>
    <w:p w14:paraId="5262ABD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0" w:name="_Toc25541"/>
      <w:r>
        <w:rPr>
          <w:rFonts w:hint="eastAsia" w:ascii="仿宋_GB2312" w:hAnsi="仿宋_GB2312" w:eastAsia="仿宋_GB2312" w:cs="仿宋_GB2312"/>
          <w:b/>
          <w:sz w:val="28"/>
          <w:szCs w:val="28"/>
          <w:highlight w:val="none"/>
        </w:rPr>
        <w:t>27.2竣工结算书的核对和修改</w:t>
      </w:r>
      <w:bookmarkEnd w:id="250"/>
    </w:p>
    <w:p w14:paraId="560379D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⑴发包人在收到承包人提交的竣工结算书及结算资料后28天或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约定的时间内，应按合同的有关约定，依据结算资料，在监理人的协助下，对承包人提交的竣工结算书进行核对：</w:t>
      </w:r>
    </w:p>
    <w:p w14:paraId="367B86D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①认可承包人提交的竣工结算书，并确认工程竣工结算价款；或</w:t>
      </w:r>
    </w:p>
    <w:p w14:paraId="321B74B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②提出核对意见或要求补充结算资料。</w:t>
      </w:r>
    </w:p>
    <w:p w14:paraId="392052E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⑵承包人应在收到发包人提出的核对意见后14天或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约定的时间内，向发包人提交经修改的竣工结算书或补充结算资料。发包人应在收到后14天或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约定的时间内，进行核对，经与承包人协商达成一致意见后确认工程竣工结算价款。</w:t>
      </w:r>
    </w:p>
    <w:p w14:paraId="535C542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⑶承包人在收到发包人提出的核对意见后14天或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约定的时间内未提出异议或没有明确答复的，视为发包人的核对意见被承包人认可且接受，竣工结算至此办理完毕。</w:t>
      </w:r>
    </w:p>
    <w:p w14:paraId="79DD744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1" w:name="_Toc18941"/>
      <w:r>
        <w:rPr>
          <w:rFonts w:hint="eastAsia" w:ascii="仿宋_GB2312" w:hAnsi="仿宋_GB2312" w:eastAsia="仿宋_GB2312" w:cs="仿宋_GB2312"/>
          <w:b/>
          <w:sz w:val="28"/>
          <w:szCs w:val="28"/>
          <w:highlight w:val="none"/>
        </w:rPr>
        <w:t>27.3竣工结算书核对次数</w:t>
      </w:r>
      <w:bookmarkEnd w:id="251"/>
    </w:p>
    <w:p w14:paraId="0B7C702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14:paraId="0C09A66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⑵依据相关法律、法规、规章，要求使用国有资金和集体所有资金等投资建设工程的竣工结算需向政府指定机构提交审计或审核的，该审计或审核行为不视为第27.3⑴款所述核对。</w:t>
      </w:r>
    </w:p>
    <w:p w14:paraId="0010020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2" w:name="_Toc4286"/>
      <w:r>
        <w:rPr>
          <w:rFonts w:hint="eastAsia" w:ascii="仿宋_GB2312" w:hAnsi="仿宋_GB2312" w:eastAsia="仿宋_GB2312" w:cs="仿宋_GB2312"/>
          <w:b/>
          <w:sz w:val="28"/>
          <w:szCs w:val="28"/>
          <w:highlight w:val="none"/>
        </w:rPr>
        <w:t>27.4承包人不提交竣工结算书</w:t>
      </w:r>
      <w:bookmarkEnd w:id="252"/>
    </w:p>
    <w:p w14:paraId="57BE008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在本合同约定期限内，承包人未提交竣工结算书及结算资料(包括经修改的竣工结算书或补充结算资料)，监理人应通知其要求提交，通知后14天内仍不提交的或没有明确答复的，发包人可在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中约定按以下方式进行处理：</w:t>
      </w:r>
    </w:p>
    <w:p w14:paraId="6B8B5F1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①依据已有资料进行审查、核实，并确定工程竣工结算价款，书面提交承包人，并以此作为竣工结算价款支付依据。若承包人不予接受的，按第30条［争议解决］的约定处理。</w:t>
      </w:r>
    </w:p>
    <w:p w14:paraId="10435A4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的约定对承包人进行处罚。</w:t>
      </w:r>
    </w:p>
    <w:p w14:paraId="11FA91B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3" w:name="_Toc15405"/>
      <w:r>
        <w:rPr>
          <w:rFonts w:hint="eastAsia" w:ascii="仿宋_GB2312" w:hAnsi="仿宋_GB2312" w:eastAsia="仿宋_GB2312" w:cs="仿宋_GB2312"/>
          <w:b/>
          <w:sz w:val="28"/>
          <w:szCs w:val="28"/>
          <w:highlight w:val="none"/>
        </w:rPr>
        <w:t>27.5发包人逾期不结算</w:t>
      </w:r>
      <w:bookmarkEnd w:id="253"/>
    </w:p>
    <w:p w14:paraId="3D1A5F5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发包人收到竣工结算书及结算资料后28天或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约定的时间内，或在收到经修改的竣工结算书或补充结算资料后14天或</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14:paraId="2805EA5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4" w:name="_Toc14076"/>
      <w:r>
        <w:rPr>
          <w:rFonts w:hint="eastAsia" w:ascii="仿宋_GB2312" w:hAnsi="仿宋_GB2312" w:eastAsia="仿宋_GB2312" w:cs="仿宋_GB2312"/>
          <w:b/>
          <w:sz w:val="28"/>
          <w:szCs w:val="28"/>
          <w:highlight w:val="none"/>
        </w:rPr>
        <w:t>27.6竣工结算审计或审核</w:t>
      </w:r>
      <w:bookmarkEnd w:id="254"/>
    </w:p>
    <w:p w14:paraId="48346C1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⑴在发包人和承包人确认竣工结算价款后7天内，发包人应当将经发包人和承包人共同确认的竣工结算书按规定报政府指定机构审计或审核。在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约定的特殊情况下，发包人可启动强制结算机制，将其单方编制的结算文件送审计或审核。</w:t>
      </w:r>
    </w:p>
    <w:p w14:paraId="4F882FF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⑵本合同的任何工程变更、索赔、签证和竣工结算以及补充协议(如果有)应按规定经过政府指定机构审计或审核。最终的竣工结算和支付依据按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约定执行。</w:t>
      </w:r>
    </w:p>
    <w:p w14:paraId="0DC6BDB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⑶政府指定机构的审计或审核包括合同履行期间的过程审计或审核、工程完工后的竣工结算审计或审核。发包人和承包人均不得拒绝政府指定机构的任何监管，必须充分配合审计或审核，不得拖延。</w:t>
      </w:r>
    </w:p>
    <w:p w14:paraId="57DB9C3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5" w:name="_Toc6826"/>
      <w:r>
        <w:rPr>
          <w:rFonts w:hint="eastAsia" w:ascii="仿宋_GB2312" w:hAnsi="仿宋_GB2312" w:eastAsia="仿宋_GB2312" w:cs="仿宋_GB2312"/>
          <w:b/>
          <w:sz w:val="28"/>
          <w:szCs w:val="28"/>
          <w:highlight w:val="none"/>
        </w:rPr>
        <w:t>27.7竣工结算支付</w:t>
      </w:r>
      <w:bookmarkEnd w:id="255"/>
    </w:p>
    <w:p w14:paraId="520BFBF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⑴在按27.6款竣工结算审计或审核完毕后7天内，监理人应签发竣工支付证书，报发包人批准后送交承包人。竣工支付证书中应载明按照经确认的工程竣工结算价款及根据合同约定最后应支付给承包人的价款。</w:t>
      </w:r>
    </w:p>
    <w:p w14:paraId="3FE4733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⑵发包人应在确认竣工支付证书后14天内向承包人支付除按本合同附件《工程质量保修书》约定扣留的质量保证金以外的本工程竣工结算价款。</w:t>
      </w:r>
    </w:p>
    <w:p w14:paraId="154231A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w:t>
      </w:r>
      <w:bookmarkStart w:id="256" w:name="_Hlk10016678"/>
      <w:r>
        <w:rPr>
          <w:rFonts w:hint="eastAsia" w:ascii="仿宋_GB2312" w:hAnsi="仿宋_GB2312" w:eastAsia="仿宋_GB2312" w:cs="仿宋_GB2312"/>
          <w:sz w:val="28"/>
          <w:szCs w:val="28"/>
          <w:highlight w:val="none"/>
        </w:rPr>
        <w:t>可以</w:t>
      </w:r>
      <w:bookmarkEnd w:id="256"/>
      <w:r>
        <w:rPr>
          <w:rFonts w:hint="eastAsia" w:ascii="仿宋_GB2312" w:hAnsi="仿宋_GB2312" w:eastAsia="仿宋_GB2312" w:cs="仿宋_GB2312"/>
          <w:sz w:val="28"/>
          <w:szCs w:val="28"/>
          <w:highlight w:val="none"/>
        </w:rPr>
        <w:t>与发包人协议将该工程折价或拍卖，承包人就该工程折价或拍卖的价款优先受偿。</w:t>
      </w:r>
    </w:p>
    <w:p w14:paraId="301A331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⑷有关本工程竣工结算的文件的编制和审核均须经注册造价工程师签字盖章确认。</w:t>
      </w:r>
    </w:p>
    <w:p w14:paraId="719AEE5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7" w:name="_Toc20732"/>
      <w:r>
        <w:rPr>
          <w:rFonts w:hint="eastAsia" w:ascii="仿宋_GB2312" w:hAnsi="仿宋_GB2312" w:eastAsia="仿宋_GB2312" w:cs="仿宋_GB2312"/>
          <w:b/>
          <w:sz w:val="28"/>
          <w:szCs w:val="28"/>
          <w:highlight w:val="none"/>
        </w:rPr>
        <w:t>27.8最终结清申请</w:t>
      </w:r>
      <w:bookmarkEnd w:id="257"/>
    </w:p>
    <w:p w14:paraId="0389D5F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另有约定外，承包人应在缺陷责任期终止证书颁发后7天内，按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约定的份数向发包人提交最终结清申请单，并提供相关证明材料。</w:t>
      </w:r>
    </w:p>
    <w:p w14:paraId="16E3CDF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另有约定外，最终结清申请单应列明质量保证金、应扣除的质量保证金、缺陷责任期内发生的增减费用。</w:t>
      </w:r>
    </w:p>
    <w:p w14:paraId="0A0E7DC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⑵发包人对最终</w:t>
      </w:r>
      <w:bookmarkStart w:id="258" w:name="_Hlk534336053"/>
      <w:r>
        <w:rPr>
          <w:rFonts w:hint="eastAsia" w:ascii="仿宋_GB2312" w:hAnsi="仿宋_GB2312" w:eastAsia="仿宋_GB2312" w:cs="仿宋_GB2312"/>
          <w:sz w:val="28"/>
          <w:szCs w:val="28"/>
          <w:highlight w:val="none"/>
        </w:rPr>
        <w:t>结清申请单内容有异议的，有权要求承包</w:t>
      </w:r>
      <w:bookmarkEnd w:id="258"/>
      <w:r>
        <w:rPr>
          <w:rFonts w:hint="eastAsia" w:ascii="仿宋_GB2312" w:hAnsi="仿宋_GB2312" w:eastAsia="仿宋_GB2312" w:cs="仿宋_GB2312"/>
          <w:sz w:val="28"/>
          <w:szCs w:val="28"/>
          <w:highlight w:val="none"/>
        </w:rPr>
        <w:t>人进行修正和提供补充资料，承包人应向发包人提交修正后的最终结清申请单。</w:t>
      </w:r>
    </w:p>
    <w:p w14:paraId="03B5001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59" w:name="_Toc12512"/>
      <w:r>
        <w:rPr>
          <w:rFonts w:hint="eastAsia" w:ascii="仿宋_GB2312" w:hAnsi="仿宋_GB2312" w:eastAsia="仿宋_GB2312" w:cs="仿宋_GB2312"/>
          <w:b/>
          <w:sz w:val="28"/>
          <w:szCs w:val="28"/>
          <w:highlight w:val="none"/>
        </w:rPr>
        <w:t>27.9最终结清证书和支付</w:t>
      </w:r>
      <w:bookmarkEnd w:id="259"/>
    </w:p>
    <w:p w14:paraId="6E2518A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另有约定外，发包人应在收到承包人提交的最终结清申请单后14天内完成审批并向承包人颁发最终结清证书。</w:t>
      </w:r>
    </w:p>
    <w:p w14:paraId="755C53F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另有约定外，发包人应在颁发最终结清证书后7天内完成支付。发包人逾期支付的，按照中国人民银行发布的同期同类贷款基准利率支付违约金。</w:t>
      </w:r>
    </w:p>
    <w:p w14:paraId="490BB2B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⑶承包人对发包人颁发的最终结清证书有异议的，按第30条〔争议解决〕的约定办理。</w:t>
      </w:r>
    </w:p>
    <w:p w14:paraId="35D475AB">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60" w:name="_Toc21467"/>
      <w:r>
        <w:rPr>
          <w:rFonts w:hint="eastAsia" w:ascii="仿宋_GB2312" w:hAnsi="仿宋_GB2312" w:eastAsia="仿宋_GB2312" w:cs="仿宋_GB2312"/>
          <w:b/>
          <w:bCs/>
          <w:sz w:val="28"/>
          <w:szCs w:val="28"/>
          <w:highlight w:val="none"/>
        </w:rPr>
        <w:t>28.违约</w:t>
      </w:r>
      <w:bookmarkEnd w:id="260"/>
    </w:p>
    <w:p w14:paraId="251D436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61" w:name="_Toc363"/>
      <w:bookmarkStart w:id="262" w:name="_Hlk534336377"/>
      <w:r>
        <w:rPr>
          <w:rFonts w:hint="eastAsia" w:ascii="仿宋_GB2312" w:hAnsi="仿宋_GB2312" w:eastAsia="仿宋_GB2312" w:cs="仿宋_GB2312"/>
          <w:b/>
          <w:sz w:val="28"/>
          <w:szCs w:val="28"/>
          <w:highlight w:val="none"/>
        </w:rPr>
        <w:t>28.1发包人违约</w:t>
      </w:r>
      <w:bookmarkEnd w:id="261"/>
    </w:p>
    <w:bookmarkEnd w:id="262"/>
    <w:p w14:paraId="527C017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发包人不履行合同义务或不按合同约定履行义务，应承担违约责任，赔偿因其违约给承包人造成的损失，顺延延误的工期。当发生下列情况时，发包人应根据</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1142B44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⑴因发包人原因未能在计划开工日期前7天内下达开工通知的；</w:t>
      </w:r>
    </w:p>
    <w:p w14:paraId="091C75B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bookmarkStart w:id="263" w:name="_Hlk534336404"/>
      <w:r>
        <w:rPr>
          <w:rFonts w:hint="eastAsia" w:ascii="仿宋_GB2312" w:hAnsi="仿宋_GB2312" w:eastAsia="仿宋_GB2312" w:cs="仿宋_GB2312"/>
          <w:sz w:val="28"/>
          <w:szCs w:val="28"/>
          <w:highlight w:val="none"/>
        </w:rPr>
        <w:t>⑵发包人不按时通知财政部门向承包人支付工程预付款、工程进度款、工程竣工结算款</w:t>
      </w:r>
      <w:bookmarkEnd w:id="263"/>
      <w:r>
        <w:rPr>
          <w:rFonts w:hint="eastAsia" w:ascii="仿宋_GB2312" w:hAnsi="仿宋_GB2312" w:eastAsia="仿宋_GB2312" w:cs="仿宋_GB2312"/>
          <w:sz w:val="28"/>
          <w:szCs w:val="28"/>
          <w:highlight w:val="none"/>
        </w:rPr>
        <w:t>；</w:t>
      </w:r>
    </w:p>
    <w:p w14:paraId="58FF001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⑶发包人提供的材料、工程设备的规格、数量或质量不符合合同约定，或因发包人原因导致交货日期延误或交货地点变更等情况的；</w:t>
      </w:r>
    </w:p>
    <w:p w14:paraId="184F3F5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⑷因发包人违反合同约定造成暂停施工的；</w:t>
      </w:r>
    </w:p>
    <w:p w14:paraId="1EC43A2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⑸发包人无正当理由没有在约定期限内发出复工指示，导致承包人无法复工的；</w:t>
      </w:r>
    </w:p>
    <w:p w14:paraId="233F29C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⑹发包人明确表示或者以其行为表明不履行合同主要义务的；</w:t>
      </w:r>
    </w:p>
    <w:p w14:paraId="07E3FD3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⑺发包人未能按照合同约定履行其他义务的。</w:t>
      </w:r>
    </w:p>
    <w:p w14:paraId="6DDE5DE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64" w:name="_Toc23013"/>
      <w:r>
        <w:rPr>
          <w:rFonts w:hint="eastAsia" w:ascii="仿宋_GB2312" w:hAnsi="仿宋_GB2312" w:eastAsia="仿宋_GB2312" w:cs="仿宋_GB2312"/>
          <w:b/>
          <w:sz w:val="28"/>
          <w:szCs w:val="28"/>
          <w:highlight w:val="none"/>
        </w:rPr>
        <w:t>28.2承包人违约</w:t>
      </w:r>
      <w:bookmarkEnd w:id="264"/>
    </w:p>
    <w:p w14:paraId="1BDA372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承包人不履行合同义务或不按合同约定履行义务，应承担违约责任，赔偿因其违约给发包人造成的损失。当发生下列情况时，承包人应根据</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的约定承担违约责任。</w:t>
      </w:r>
    </w:p>
    <w:p w14:paraId="3746382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⑴承包人违反合同约定进行转包或违法分包的；</w:t>
      </w:r>
    </w:p>
    <w:p w14:paraId="061BC05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⑵承包人违反合同约定采购和使用不合格的材料和工程设备的；</w:t>
      </w:r>
    </w:p>
    <w:p w14:paraId="42325CD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⑶因承包人原因导致工程质量不符合合同要求的；</w:t>
      </w:r>
    </w:p>
    <w:p w14:paraId="144B7EB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⑷承包人未经批准，私自将已按照合同约定进入施工现场的材料或设备撤离施工现场的；</w:t>
      </w:r>
    </w:p>
    <w:p w14:paraId="40C7E4E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⑸承包人未能按施工进度计划及时完成合同约定的工作，造成工期延误的；</w:t>
      </w:r>
    </w:p>
    <w:p w14:paraId="7E9CB63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⑹承包人在缺陷责任期及保修期内，未能在合理期限对工程缺陷进行修复，或拒绝按发包人要求进行修复的；</w:t>
      </w:r>
    </w:p>
    <w:p w14:paraId="20ABF5A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⑺因承包人原因导致BIM实施应用不符合合同要求的；</w:t>
      </w:r>
    </w:p>
    <w:p w14:paraId="30F8863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⑻承包人明确表示或者以其行为表明不履行合同主要义务的；</w:t>
      </w:r>
    </w:p>
    <w:p w14:paraId="1BFDCBB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承包人未能按照合同约定履行其他义务的。</w:t>
      </w:r>
    </w:p>
    <w:p w14:paraId="414E603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65" w:name="_Toc32483"/>
      <w:r>
        <w:rPr>
          <w:rFonts w:hint="eastAsia" w:ascii="仿宋_GB2312" w:hAnsi="仿宋_GB2312" w:eastAsia="仿宋_GB2312" w:cs="仿宋_GB2312"/>
          <w:b/>
          <w:sz w:val="28"/>
          <w:szCs w:val="28"/>
          <w:highlight w:val="none"/>
        </w:rPr>
        <w:t>28.3第三人造成的违约</w:t>
      </w:r>
      <w:bookmarkEnd w:id="265"/>
    </w:p>
    <w:p w14:paraId="4F1376A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在履行合同过程中，发包人或承包人一方因第三人的原因造成违约的，应当向对方承担违约责任。发包人或承包人一方和第三人之间的纠纷，依照相关法律规定解决。</w:t>
      </w:r>
    </w:p>
    <w:p w14:paraId="13DB6FB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66" w:name="_Toc20179"/>
      <w:r>
        <w:rPr>
          <w:rFonts w:hint="eastAsia" w:ascii="仿宋_GB2312" w:hAnsi="仿宋_GB2312" w:eastAsia="仿宋_GB2312" w:cs="仿宋_GB2312"/>
          <w:b/>
          <w:sz w:val="28"/>
          <w:szCs w:val="28"/>
          <w:highlight w:val="none"/>
        </w:rPr>
        <w:t>28.4继续履行合同</w:t>
      </w:r>
      <w:bookmarkEnd w:id="266"/>
    </w:p>
    <w:p w14:paraId="5058F8B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除非另有约定，发包人和承包人一方违约后，另一方要求违约方继续履行本合同时，违约方承担上述违约责任后仍应继续履行合同。</w:t>
      </w:r>
    </w:p>
    <w:p w14:paraId="328E5116">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67" w:name="_Toc952"/>
      <w:r>
        <w:rPr>
          <w:rFonts w:hint="eastAsia" w:ascii="仿宋_GB2312" w:hAnsi="仿宋_GB2312" w:eastAsia="仿宋_GB2312" w:cs="仿宋_GB2312"/>
          <w:b/>
          <w:bCs/>
          <w:sz w:val="28"/>
          <w:szCs w:val="28"/>
          <w:highlight w:val="none"/>
        </w:rPr>
        <w:t>29.索赔</w:t>
      </w:r>
      <w:bookmarkEnd w:id="267"/>
    </w:p>
    <w:p w14:paraId="430D5B8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68" w:name="_Toc4767"/>
      <w:r>
        <w:rPr>
          <w:rFonts w:hint="eastAsia" w:ascii="仿宋_GB2312" w:hAnsi="仿宋_GB2312" w:eastAsia="仿宋_GB2312" w:cs="仿宋_GB2312"/>
          <w:b/>
          <w:sz w:val="28"/>
          <w:szCs w:val="28"/>
          <w:highlight w:val="none"/>
        </w:rPr>
        <w:t>29.1索赔理由与记录</w:t>
      </w:r>
      <w:bookmarkEnd w:id="268"/>
    </w:p>
    <w:p w14:paraId="68916E3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⑴发包人和承包人双方中，当一方向另一方提出索赔时，要有合理的索赔理由，且有其要求索赔的事件发生时的有效证据。</w:t>
      </w:r>
    </w:p>
    <w:p w14:paraId="14D9288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⑵提出索赔的一方在其要求索赔的事件发生时，应保存好必要的记录，以便证明提出的索赔，并应允许另一方或监理人查阅全部记录。</w:t>
      </w:r>
    </w:p>
    <w:p w14:paraId="0C523FC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69" w:name="_Toc18966"/>
      <w:r>
        <w:rPr>
          <w:rFonts w:hint="eastAsia" w:ascii="仿宋_GB2312" w:hAnsi="仿宋_GB2312" w:eastAsia="仿宋_GB2312" w:cs="仿宋_GB2312"/>
          <w:b/>
          <w:sz w:val="28"/>
          <w:szCs w:val="28"/>
          <w:highlight w:val="none"/>
        </w:rPr>
        <w:t>29.2索赔内容</w:t>
      </w:r>
      <w:bookmarkEnd w:id="269"/>
    </w:p>
    <w:p w14:paraId="5D68E87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⑴发包人提出索赔时，可选择下列一项或几项方式获得赔偿：</w:t>
      </w:r>
    </w:p>
    <w:p w14:paraId="25ACDD0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①延长质量缺陷修复期限；</w:t>
      </w:r>
    </w:p>
    <w:p w14:paraId="2ADB086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②要求承包人支付实际发生的额外费用；</w:t>
      </w:r>
    </w:p>
    <w:p w14:paraId="4253426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③要求承包人支付合同约定的违约金。</w:t>
      </w:r>
    </w:p>
    <w:p w14:paraId="60566BC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⑵承包人提出索赔时，可选择下列一项或几项方式获得赔偿：</w:t>
      </w:r>
    </w:p>
    <w:p w14:paraId="67B1CC0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①延长工期；</w:t>
      </w:r>
    </w:p>
    <w:p w14:paraId="721F2228">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②要求发包人支付实际发生的额外费用；</w:t>
      </w:r>
    </w:p>
    <w:p w14:paraId="159BC2C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③要求发包人支付合同约定的违约金。</w:t>
      </w:r>
    </w:p>
    <w:p w14:paraId="19FE7B7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0" w:name="_Toc28763"/>
      <w:r>
        <w:rPr>
          <w:rFonts w:hint="eastAsia" w:ascii="仿宋_GB2312" w:hAnsi="仿宋_GB2312" w:eastAsia="仿宋_GB2312" w:cs="仿宋_GB2312"/>
          <w:b/>
          <w:sz w:val="28"/>
          <w:szCs w:val="28"/>
          <w:highlight w:val="none"/>
        </w:rPr>
        <w:t>29.3发包人索赔情形</w:t>
      </w:r>
      <w:bookmarkEnd w:id="270"/>
    </w:p>
    <w:p w14:paraId="4FD1F03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在施工合同履行过程中发生下列情形之一的，发包人可向承包人提出索赔：</w:t>
      </w:r>
    </w:p>
    <w:p w14:paraId="53B5ACF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⑴承包人使用的设备和材料不符合合同规定，或施工质量不符合施工技术规程的要求；</w:t>
      </w:r>
    </w:p>
    <w:p w14:paraId="276E528A">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⑵由于承包人原因导致工期延误；</w:t>
      </w:r>
    </w:p>
    <w:p w14:paraId="5F43DC1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⑶工程竣工验收合格后，因承包人原因导致的缺陷或损坏致使工程、单位工程或某项主要设备不能按原定目的使用；</w:t>
      </w:r>
    </w:p>
    <w:p w14:paraId="04966A4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中约定的其他情形。</w:t>
      </w:r>
    </w:p>
    <w:p w14:paraId="30D2310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1" w:name="_Toc27645"/>
      <w:r>
        <w:rPr>
          <w:rFonts w:hint="eastAsia" w:ascii="仿宋_GB2312" w:hAnsi="仿宋_GB2312" w:eastAsia="仿宋_GB2312" w:cs="仿宋_GB2312"/>
          <w:b/>
          <w:sz w:val="28"/>
          <w:szCs w:val="28"/>
          <w:highlight w:val="none"/>
        </w:rPr>
        <w:t>29.4发包人索赔程序</w:t>
      </w:r>
      <w:bookmarkEnd w:id="271"/>
    </w:p>
    <w:p w14:paraId="6B1B13D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承包人未能按合同约定履行义务、发生错误以及应由承包人承担责任的其他情况，给发包人造成损失的，发包人可按下列程序向承包人提出索赔：</w:t>
      </w:r>
    </w:p>
    <w:p w14:paraId="76520A5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⑴索赔的事件发生后28天内，向承包人提出索赔意向通知。逾期不提出的，视为放弃索赔；</w:t>
      </w:r>
    </w:p>
    <w:p w14:paraId="0B04504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⑵在提出索赔意向通知后28天内，向承包人提出赔偿损失的索赔报告及有关资料；</w:t>
      </w:r>
    </w:p>
    <w:p w14:paraId="58836E6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⑶承包人在收到发包人提交的索赔报告和有关资料后，于28天内给予答复，或要求发包人进一步补充索赔理由和证据；</w:t>
      </w:r>
    </w:p>
    <w:p w14:paraId="60F8AE1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⑷承包人在收到发包人提交的索赔报告和有关资料后28天内未予答复或未对发包人作进一步要求，视为该项索赔已被认可；</w:t>
      </w:r>
    </w:p>
    <w:p w14:paraId="5E46D07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⑸当索赔事件持续进行时，发包人应阶段性向承包人提出索赔意向通知，在该事件终了后28天内，向承包人提交索赔的有关资料和最终索赔报告。索赔答复程序与第29.6⑶、⑷项约定相同。</w:t>
      </w:r>
    </w:p>
    <w:p w14:paraId="3626F999">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⑹承包人接受索赔处理结果的，发包人可从应支付给承包人的合同价款中扣除赔付的金额或延长缺陷责任期；发包人不接受索赔处理结果的，按第30条〔争议解决〕约定处理。</w:t>
      </w:r>
    </w:p>
    <w:p w14:paraId="50AE882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2" w:name="_Toc28790"/>
      <w:r>
        <w:rPr>
          <w:rFonts w:hint="eastAsia" w:ascii="仿宋_GB2312" w:hAnsi="仿宋_GB2312" w:eastAsia="仿宋_GB2312" w:cs="仿宋_GB2312"/>
          <w:b/>
          <w:sz w:val="28"/>
          <w:szCs w:val="28"/>
          <w:highlight w:val="none"/>
        </w:rPr>
        <w:t>29.5承包人索赔情形</w:t>
      </w:r>
      <w:bookmarkEnd w:id="272"/>
    </w:p>
    <w:p w14:paraId="4ABAAA5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在施工合同履行过程中发生下列情形之一的，承包人可向发包人提出索赔：</w:t>
      </w:r>
    </w:p>
    <w:p w14:paraId="491AB43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⑴发包人未能按合同约定提供图纸或所提供图纸不符合合同约定的；</w:t>
      </w:r>
    </w:p>
    <w:p w14:paraId="3C6E82A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⑵发包人未能按合同约定提供施工现场、施工条件、基础资料、许可、批准等开工条件的；</w:t>
      </w:r>
    </w:p>
    <w:p w14:paraId="045DCB27">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⑶发包人提供的测量基准点、基准线和水准点及其书面资料存在错误或疏漏的；</w:t>
      </w:r>
    </w:p>
    <w:p w14:paraId="622D405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⑷发包人未能在计划开工日期之日起7天内同意下达开工通知的；</w:t>
      </w:r>
    </w:p>
    <w:p w14:paraId="0F3DD96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⑸发包人未能按合同约定日期支付工程预付款、进度款或竣工结算款的；</w:t>
      </w:r>
    </w:p>
    <w:p w14:paraId="71BB8A5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⑹监理单位未按合同约定发出指示、批准等文件的；</w:t>
      </w:r>
    </w:p>
    <w:p w14:paraId="6C1FF8D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⑺</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中约定的其他情形。</w:t>
      </w:r>
    </w:p>
    <w:p w14:paraId="11D5A9C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3" w:name="_Toc29923"/>
      <w:r>
        <w:rPr>
          <w:rFonts w:hint="eastAsia" w:ascii="仿宋_GB2312" w:hAnsi="仿宋_GB2312" w:eastAsia="仿宋_GB2312" w:cs="仿宋_GB2312"/>
          <w:b/>
          <w:sz w:val="28"/>
          <w:szCs w:val="28"/>
          <w:highlight w:val="none"/>
        </w:rPr>
        <w:t>29.6承包人索赔程序</w:t>
      </w:r>
      <w:bookmarkEnd w:id="273"/>
    </w:p>
    <w:p w14:paraId="69B56C0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发包人未能按合同约定履行义务、发生错误以及应由发包人承担责任的其他情况，给承包人造成损失和(或)导致工期延误的，承包人可按下列程序向发包人提出索赔：</w:t>
      </w:r>
    </w:p>
    <w:p w14:paraId="32731E1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⑴索赔的事件发生后28天内，向监理人提出索赔意向通知。逾期不提出的，视为放弃索赔；</w:t>
      </w:r>
    </w:p>
    <w:p w14:paraId="3EDF1C3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⑵在提出索赔意向通知后28天内，向监理人提交赔偿损失和(或)延长工期的索赔报告及有关资料；</w:t>
      </w:r>
    </w:p>
    <w:p w14:paraId="1ED3C0C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⑶监理人在收到承包人提交的索赔报告和有关资料后，于28天内给予答复，或要求承包人进一步补充索赔理由和证据；</w:t>
      </w:r>
    </w:p>
    <w:p w14:paraId="7C56F70E">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⑷监理人在收到承包人提交的索赔报告和有关资料后28天内未予答复或未对承包人作进一步要求，视为该项索赔已被认可；</w:t>
      </w:r>
    </w:p>
    <w:p w14:paraId="44F86D6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⑸当索赔事件持续进行时，承包人应阶段性向监理人提出索赔意向通知，在该事件终了后28天内，向监理人提交索赔的有关资料和最终索赔报告。索赔答复程序与第29.4⑶、⑷项的约定相同。</w:t>
      </w:r>
    </w:p>
    <w:p w14:paraId="487B5FD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⑹承包人接受索赔处理结果的，索赔款项在当期进度款中进行支付；承包人不接受索赔处理结果的，按照第30条〔争议解决〕约定处理。</w:t>
      </w:r>
    </w:p>
    <w:p w14:paraId="7B24A55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4" w:name="_Toc2627"/>
      <w:r>
        <w:rPr>
          <w:rFonts w:hint="eastAsia" w:ascii="仿宋_GB2312" w:hAnsi="仿宋_GB2312" w:eastAsia="仿宋_GB2312" w:cs="仿宋_GB2312"/>
          <w:b/>
          <w:sz w:val="28"/>
          <w:szCs w:val="28"/>
          <w:highlight w:val="none"/>
        </w:rPr>
        <w:t>29.7提出索赔的期限</w:t>
      </w:r>
      <w:bookmarkEnd w:id="274"/>
    </w:p>
    <w:p w14:paraId="26213D0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⑴承包人按第27.7款〔竣工结算支付〕约定接收竣工支付证书后，应被视为已无权再提出在工程接收证书颁发前所发生的任何索赔。</w:t>
      </w:r>
    </w:p>
    <w:p w14:paraId="67947B7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⑵承包人按第27.8款〔最终结清申请〕提交的最终结清申请单中，只限于提出工程接收证书颁发后发生的索赔。提出索赔的期限自接受最终结清证书时终止。</w:t>
      </w:r>
    </w:p>
    <w:p w14:paraId="4A020DC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5" w:name="_Toc6557"/>
      <w:r>
        <w:rPr>
          <w:rFonts w:ascii="仿宋_GB2312" w:hAnsi="仿宋_GB2312" w:eastAsia="仿宋_GB2312" w:cs="仿宋_GB2312"/>
          <w:b/>
          <w:sz w:val="28"/>
          <w:szCs w:val="28"/>
          <w:highlight w:val="none"/>
        </w:rPr>
        <w:t>29.8索赔费用的支付</w:t>
      </w:r>
      <w:bookmarkEnd w:id="275"/>
    </w:p>
    <w:p w14:paraId="292D708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⑴监理人对承包人根据第29.4款提交的索赔报告和有关资料进行核实，并报发包人批准后，确定赔偿的费用并与工程款同期支付，确定延误的工期并顺延工期。</w:t>
      </w:r>
    </w:p>
    <w:p w14:paraId="5E567BE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⑵承包人对发包人根据第29.6款提交的索赔报告和有关资料进行核实，与发包人协商后确定赔偿的费用并在监理人签发给承包人的支付证书中予以扣除。</w:t>
      </w:r>
    </w:p>
    <w:p w14:paraId="7493AF80">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⑶有关本工程索赔的文件的编制和审核均须经注册造价工程师签字盖章确认。</w:t>
      </w:r>
    </w:p>
    <w:p w14:paraId="3DF9A8A9">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76" w:name="_Toc5840"/>
      <w:r>
        <w:rPr>
          <w:rFonts w:hint="eastAsia" w:ascii="仿宋_GB2312" w:hAnsi="仿宋_GB2312" w:eastAsia="仿宋_GB2312" w:cs="仿宋_GB2312"/>
          <w:b/>
          <w:bCs/>
          <w:sz w:val="28"/>
          <w:szCs w:val="28"/>
          <w:highlight w:val="none"/>
        </w:rPr>
        <w:t>30.争议解决</w:t>
      </w:r>
      <w:bookmarkEnd w:id="276"/>
    </w:p>
    <w:p w14:paraId="4B3EE5E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7" w:name="_Toc4197"/>
      <w:r>
        <w:rPr>
          <w:rFonts w:hint="eastAsia" w:ascii="仿宋_GB2312" w:hAnsi="仿宋_GB2312" w:eastAsia="仿宋_GB2312" w:cs="仿宋_GB2312"/>
          <w:b/>
          <w:sz w:val="28"/>
          <w:szCs w:val="28"/>
          <w:highlight w:val="none"/>
        </w:rPr>
        <w:t>30.1争议的解决方式</w:t>
      </w:r>
      <w:bookmarkEnd w:id="277"/>
    </w:p>
    <w:p w14:paraId="5BD7B17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⑴凡因本合同引起的或与本合同有关的任何争议，发包人与承包人可自行和解，和解不成的可提交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中约定的机构进行调解。和解或调解成功的，发包人和承包人应签订书面和解协议。</w:t>
      </w:r>
    </w:p>
    <w:p w14:paraId="3993B1B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⑵发包人或承包人一方不愿调解或调解不成的，双方可按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中约定的方式申请仲裁或提起诉讼解决争议。</w:t>
      </w:r>
    </w:p>
    <w:p w14:paraId="3741FD8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78" w:name="_Toc14149"/>
      <w:r>
        <w:rPr>
          <w:rFonts w:hint="eastAsia" w:ascii="仿宋_GB2312" w:hAnsi="仿宋_GB2312" w:eastAsia="仿宋_GB2312" w:cs="仿宋_GB2312"/>
          <w:b/>
          <w:sz w:val="28"/>
          <w:szCs w:val="28"/>
          <w:highlight w:val="none"/>
        </w:rPr>
        <w:t>30.2继续履行合同</w:t>
      </w:r>
      <w:bookmarkEnd w:id="278"/>
    </w:p>
    <w:p w14:paraId="1998CDA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发生争议后，除非出现下列情况及本合同另有约定的情况，双方都应继续履行合同，保持施工连续，保护好已完工程：</w:t>
      </w:r>
    </w:p>
    <w:p w14:paraId="4A0B4FC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⑴单方违约导致合同确已无法履行，双方协议停止施工；</w:t>
      </w:r>
    </w:p>
    <w:p w14:paraId="5F1B28C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⑵调解要求停止施工，且为双方接受；</w:t>
      </w:r>
    </w:p>
    <w:p w14:paraId="6E8043F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⑶仲裁机构要求停止施工；</w:t>
      </w:r>
    </w:p>
    <w:p w14:paraId="4C37ADD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⑷法院要求停止施工。</w:t>
      </w:r>
    </w:p>
    <w:p w14:paraId="661F118E">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79" w:name="_Toc4662"/>
      <w:r>
        <w:rPr>
          <w:rFonts w:ascii="仿宋_GB2312" w:hAnsi="仿宋_GB2312" w:eastAsia="仿宋_GB2312" w:cs="仿宋_GB2312"/>
          <w:b/>
          <w:bCs/>
          <w:sz w:val="28"/>
          <w:szCs w:val="28"/>
          <w:highlight w:val="none"/>
        </w:rPr>
        <w:t>31.工程缺陷责任与保修</w:t>
      </w:r>
      <w:bookmarkEnd w:id="279"/>
    </w:p>
    <w:p w14:paraId="4F2D6F4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0" w:name="_Toc13155"/>
      <w:r>
        <w:rPr>
          <w:rFonts w:ascii="仿宋_GB2312" w:hAnsi="仿宋_GB2312" w:eastAsia="仿宋_GB2312" w:cs="仿宋_GB2312"/>
          <w:b/>
          <w:sz w:val="28"/>
          <w:szCs w:val="28"/>
          <w:highlight w:val="none"/>
        </w:rPr>
        <w:t>31.1工程保修的原则</w:t>
      </w:r>
      <w:bookmarkEnd w:id="280"/>
    </w:p>
    <w:p w14:paraId="4B4E332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在工程移交发包人后，因承包人原因产生的质量缺陷，承包人应承担质量缺陷责任和保修义务。缺陷责任期届满，承包人仍应按合同约定的工程各部位保修年限承担保修义务。</w:t>
      </w:r>
    </w:p>
    <w:p w14:paraId="1523F02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1" w:name="_Toc6096"/>
      <w:r>
        <w:rPr>
          <w:rFonts w:hint="eastAsia" w:ascii="仿宋_GB2312" w:hAnsi="仿宋_GB2312" w:eastAsia="仿宋_GB2312" w:cs="仿宋_GB2312"/>
          <w:b/>
          <w:sz w:val="28"/>
          <w:szCs w:val="28"/>
          <w:highlight w:val="none"/>
        </w:rPr>
        <w:t>31.2缺陷责任期</w:t>
      </w:r>
      <w:bookmarkEnd w:id="281"/>
    </w:p>
    <w:p w14:paraId="044F111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⑴缺陷责任期自实际竣工日期起计算，承发包双方应在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约定缺陷责任期的具体期限，但该期限最长不超过24个月。</w:t>
      </w:r>
    </w:p>
    <w:p w14:paraId="49F0250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第91天（含）开始计算；发包人未经竣工验收擅自使用工程的，缺陷责任期自工程转移占有之日起开始计算。</w:t>
      </w:r>
    </w:p>
    <w:p w14:paraId="0CFF0AB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bookmarkStart w:id="282" w:name="_Hlk4715543"/>
      <w:r>
        <w:rPr>
          <w:rFonts w:hint="eastAsia" w:ascii="仿宋_GB2312" w:hAnsi="仿宋_GB2312" w:eastAsia="仿宋_GB2312" w:cs="仿宋_GB2312"/>
          <w:sz w:val="28"/>
          <w:szCs w:val="28"/>
          <w:highlight w:val="none"/>
        </w:rPr>
        <w:t>⑵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bookmarkEnd w:id="282"/>
    <w:p w14:paraId="62E149F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⑶任何一项缺陷或损坏修复后，经检查证明其影响了工程或工程设备的使用性能，承包人应重新进行合同约定的试验和试运行，试验和试运行的全部费用应由责任方承担。</w:t>
      </w:r>
    </w:p>
    <w:p w14:paraId="1DC23B5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6AAB63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3" w:name="_Toc14558"/>
      <w:r>
        <w:rPr>
          <w:rFonts w:hint="eastAsia" w:ascii="仿宋_GB2312" w:hAnsi="仿宋_GB2312" w:eastAsia="仿宋_GB2312" w:cs="仿宋_GB2312"/>
          <w:b/>
          <w:sz w:val="28"/>
          <w:szCs w:val="28"/>
          <w:highlight w:val="none"/>
        </w:rPr>
        <w:t>31.3质量保证金</w:t>
      </w:r>
      <w:bookmarkEnd w:id="283"/>
    </w:p>
    <w:p w14:paraId="36F35E4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⑴经承发包双方协商一致扣留质量保证金的，应在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中予以明确。</w:t>
      </w:r>
    </w:p>
    <w:p w14:paraId="7B341D1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⑵承包人提供质量保证金有以下三种方式：</w:t>
      </w:r>
    </w:p>
    <w:p w14:paraId="3462B10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①质量保证金保函；</w:t>
      </w:r>
    </w:p>
    <w:p w14:paraId="3CF45E7D">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②相应比例的工程款；</w:t>
      </w:r>
    </w:p>
    <w:p w14:paraId="4C87C493">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③双方约定的其他方式。</w:t>
      </w:r>
    </w:p>
    <w:p w14:paraId="2399ECC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另有约定外，质量保证金原则上采用上述第①种方式。</w:t>
      </w:r>
    </w:p>
    <w:p w14:paraId="2B377691">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⑶质量保证金的扣留有以下三种方式：</w:t>
      </w:r>
    </w:p>
    <w:p w14:paraId="6B6E76C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①在支付工程进度款时逐次扣留，在此情形下，质量保证金的计算基数不包括预付款的支付、扣回以及价格调整的金额；</w:t>
      </w:r>
    </w:p>
    <w:p w14:paraId="24F01CEB">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②工程竣工结算时一次性扣留质量保证金；</w:t>
      </w:r>
    </w:p>
    <w:p w14:paraId="0BDBF8F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③双方约定的其他扣留方式。</w:t>
      </w:r>
    </w:p>
    <w:p w14:paraId="3F809215">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除</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另有约定外，质量保证金的扣留原则上采用上述第①种方式。但在工程项目竣工前，承包人已提供履约担保的，发包人不得同时预留质量保证金。</w:t>
      </w:r>
    </w:p>
    <w:p w14:paraId="1CE2073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累计扣留的质量保证金不得超过结算合同价格的3%，以银行保函替代预留保证金的，保函金额不得超过结算合同价格的3%。如承包人在发包人签发竣工付款证书后28天内提交质量保证金保函，发包人应同时退还扣留的作为质量保证金的工程价款。</w:t>
      </w:r>
    </w:p>
    <w:p w14:paraId="205AC6F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⑷发包人应按27.8款〔最终结清申请〕的约定退还质量保证金。</w:t>
      </w:r>
    </w:p>
    <w:p w14:paraId="390D933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4" w:name="_Toc14375"/>
      <w:r>
        <w:rPr>
          <w:rFonts w:hint="eastAsia" w:ascii="仿宋_GB2312" w:hAnsi="仿宋_GB2312" w:eastAsia="仿宋_GB2312" w:cs="仿宋_GB2312"/>
          <w:b/>
          <w:sz w:val="28"/>
          <w:szCs w:val="28"/>
          <w:highlight w:val="none"/>
        </w:rPr>
        <w:t>31.4保修责任</w:t>
      </w:r>
      <w:bookmarkEnd w:id="284"/>
    </w:p>
    <w:p w14:paraId="73B48F9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工程保修期从工程竣工验收合格之日起算，具体分部分项工程的保修期由承发包双方在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中约定，但不得低于法定最低保修年限。在工程保修期内，承包人应当根据有关法律规定以及合同约定承担保修责任。</w:t>
      </w:r>
    </w:p>
    <w:p w14:paraId="456EED86">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发包人未经竣工验收擅自使用工程的，保修期自转移占有之日起算。</w:t>
      </w:r>
    </w:p>
    <w:p w14:paraId="00B2155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5" w:name="_Toc27301"/>
      <w:r>
        <w:rPr>
          <w:rFonts w:hint="eastAsia" w:ascii="仿宋_GB2312" w:hAnsi="仿宋_GB2312" w:eastAsia="仿宋_GB2312" w:cs="仿宋_GB2312"/>
          <w:b/>
          <w:sz w:val="28"/>
          <w:szCs w:val="28"/>
          <w:highlight w:val="none"/>
        </w:rPr>
        <w:t>31.5修复费用</w:t>
      </w:r>
      <w:bookmarkEnd w:id="285"/>
    </w:p>
    <w:p w14:paraId="2EB8C2B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保修期内，修复的费用按照以下约定处理：</w:t>
      </w:r>
    </w:p>
    <w:p w14:paraId="2DC2DC96">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(1)保修期内，因承包人原因造成工程的缺陷、损坏，承包人应负责修复，并承担修复的费用以及因工程的缺陷、损坏造成的人身伤害和财产损失；</w:t>
      </w:r>
    </w:p>
    <w:p w14:paraId="555DF40F">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(2)保修期内，因发包人使用不当造成工程的缺陷、损坏，可以委托承包人修复，但发包人应承担修复的费用；</w:t>
      </w:r>
    </w:p>
    <w:p w14:paraId="2216950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(3)因其他原因造成工程的缺陷、损坏，可以委托承包人修复，发包人应承担修复的费用，并支付承包人合理的利润，因工程的缺陷、损坏造成的人身伤害和财产损失由责任方承担。</w:t>
      </w:r>
    </w:p>
    <w:p w14:paraId="6C3FC48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6" w:name="_Toc31501"/>
      <w:r>
        <w:rPr>
          <w:rFonts w:hint="eastAsia" w:ascii="仿宋_GB2312" w:hAnsi="仿宋_GB2312" w:eastAsia="仿宋_GB2312" w:cs="仿宋_GB2312"/>
          <w:b/>
          <w:sz w:val="28"/>
          <w:szCs w:val="28"/>
          <w:highlight w:val="none"/>
        </w:rPr>
        <w:t>31.6修复通知</w:t>
      </w:r>
      <w:bookmarkEnd w:id="286"/>
    </w:p>
    <w:p w14:paraId="2E806ED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约定的合理期限内到达工程现场并修复缺陷或损坏。</w:t>
      </w:r>
    </w:p>
    <w:p w14:paraId="4DF0409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7" w:name="_Toc26460"/>
      <w:r>
        <w:rPr>
          <w:rFonts w:hint="eastAsia" w:ascii="仿宋_GB2312" w:hAnsi="仿宋_GB2312" w:eastAsia="仿宋_GB2312" w:cs="仿宋_GB2312"/>
          <w:b/>
          <w:sz w:val="28"/>
          <w:szCs w:val="28"/>
          <w:highlight w:val="none"/>
        </w:rPr>
        <w:t>31.7未能修复</w:t>
      </w:r>
      <w:bookmarkEnd w:id="287"/>
    </w:p>
    <w:p w14:paraId="4B62013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A91A6B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88" w:name="_Toc19023"/>
      <w:r>
        <w:rPr>
          <w:rFonts w:hint="eastAsia" w:ascii="仿宋_GB2312" w:hAnsi="仿宋_GB2312" w:eastAsia="仿宋_GB2312" w:cs="仿宋_GB2312"/>
          <w:b/>
          <w:sz w:val="28"/>
          <w:szCs w:val="28"/>
          <w:highlight w:val="none"/>
        </w:rPr>
        <w:t>31.8承包人出入权</w:t>
      </w:r>
      <w:bookmarkEnd w:id="288"/>
    </w:p>
    <w:p w14:paraId="71CB6D3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70FFE1E">
      <w:pPr>
        <w:pageBreakBefore w:val="0"/>
        <w:kinsoku/>
        <w:overflowPunct/>
        <w:topLinePunct w:val="0"/>
        <w:autoSpaceDE/>
        <w:autoSpaceDN/>
        <w:bidi w:val="0"/>
        <w:adjustRightInd w:val="0"/>
        <w:snapToGrid w:val="0"/>
        <w:spacing w:line="560" w:lineRule="exact"/>
        <w:ind w:left="0" w:leftChars="0" w:right="0" w:rightChars="0" w:firstLine="0"/>
        <w:jc w:val="left"/>
        <w:textAlignment w:val="auto"/>
        <w:outlineLvl w:val="1"/>
        <w:rPr>
          <w:rFonts w:ascii="仿宋_GB2312" w:hAnsi="仿宋_GB2312" w:eastAsia="仿宋_GB2312" w:cs="仿宋_GB2312"/>
          <w:b/>
          <w:bCs/>
          <w:sz w:val="28"/>
          <w:szCs w:val="28"/>
          <w:highlight w:val="none"/>
        </w:rPr>
      </w:pPr>
      <w:bookmarkStart w:id="289" w:name="_Toc26756"/>
      <w:r>
        <w:rPr>
          <w:rFonts w:hint="eastAsia" w:ascii="仿宋_GB2312" w:hAnsi="仿宋_GB2312" w:eastAsia="仿宋_GB2312" w:cs="仿宋_GB2312"/>
          <w:b/>
          <w:bCs/>
          <w:sz w:val="28"/>
          <w:szCs w:val="28"/>
          <w:highlight w:val="none"/>
        </w:rPr>
        <w:t>32.不可抗力</w:t>
      </w:r>
      <w:bookmarkEnd w:id="289"/>
    </w:p>
    <w:p w14:paraId="097E1EF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0" w:name="_Toc15524"/>
      <w:r>
        <w:rPr>
          <w:rFonts w:hint="eastAsia" w:ascii="仿宋_GB2312" w:hAnsi="仿宋_GB2312" w:eastAsia="仿宋_GB2312" w:cs="仿宋_GB2312"/>
          <w:b/>
          <w:sz w:val="28"/>
          <w:szCs w:val="28"/>
          <w:highlight w:val="none"/>
        </w:rPr>
        <w:t>32.1不可抗力包括范围</w:t>
      </w:r>
      <w:bookmarkEnd w:id="290"/>
    </w:p>
    <w:p w14:paraId="4FD598A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可抗力事件是指发包人和承包人在订立合同时无法预见，在合同履行过程中不可避免发生并不能克服的自然灾害和社会突发事件，包括战争、恐怖活动、动乱、瘟疫、空中飞行物体坠落或其他非发包人与承包人责任造成的爆炸、火灾，以及地震、洪涝和</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约定的大风、暴雨、高温等自然灾害，以至于本合同部分或全部不能继续履行。</w:t>
      </w:r>
    </w:p>
    <w:p w14:paraId="615F1BA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1" w:name="_Toc26679"/>
      <w:r>
        <w:rPr>
          <w:rFonts w:hint="eastAsia" w:ascii="仿宋_GB2312" w:hAnsi="仿宋_GB2312" w:eastAsia="仿宋_GB2312" w:cs="仿宋_GB2312"/>
          <w:b/>
          <w:sz w:val="28"/>
          <w:szCs w:val="28"/>
          <w:highlight w:val="none"/>
        </w:rPr>
        <w:t>32.2不可抗力的确认</w:t>
      </w:r>
      <w:bookmarkEnd w:id="291"/>
    </w:p>
    <w:p w14:paraId="56E5FED0">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可抗力发生后，发包人和承包人应收集证明不可抗力发生及不可抗力造成损失的证据，并及时认真统计所造成的损失。承发包双方对是否属于不可抗力或其损失的意见不一致的，按第30条〔争议解决〕的约定处理。</w:t>
      </w:r>
    </w:p>
    <w:p w14:paraId="1FD3890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2" w:name="_Toc4376"/>
      <w:r>
        <w:rPr>
          <w:rFonts w:hint="eastAsia" w:ascii="仿宋_GB2312" w:hAnsi="仿宋_GB2312" w:eastAsia="仿宋_GB2312" w:cs="仿宋_GB2312"/>
          <w:b/>
          <w:sz w:val="28"/>
          <w:szCs w:val="28"/>
          <w:highlight w:val="none"/>
        </w:rPr>
        <w:t>32.3不可抗力处理程序</w:t>
      </w:r>
      <w:bookmarkEnd w:id="292"/>
    </w:p>
    <w:p w14:paraId="0EAA6CF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不可抗力事件发生后，承包人应立即通知监理人，并在力所能及的条件下迅速采取措施，尽力减少损失，发包人应协助承包人采取措施。监理人认为应暂停施工的，承包人应暂停施工。不可抗力事件结束后48小时内承包人向监理人通报受害情况以及预计清理和修复的费用。不可抗力事件持续发生，承包人应每隔7天向监理人报告一次受害情况。不可抗力事件结束后14天内，承包人向监理人提交清理和修复费用的正式报告及有关资料。</w:t>
      </w:r>
    </w:p>
    <w:p w14:paraId="19A158D2">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⑵本工程的有关各方均应始终尽所有合理的努力，使不可抗力对本工程及履行本合同造成的损失减至最小。</w:t>
      </w:r>
    </w:p>
    <w:p w14:paraId="6550494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⑶因发包人和承包人一方迟延履行合同后发生不可抗力的，不能免除迟延履行方的迟延履行责任。</w:t>
      </w:r>
    </w:p>
    <w:p w14:paraId="08CDF1C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3" w:name="_Toc26968"/>
      <w:r>
        <w:rPr>
          <w:rFonts w:hint="eastAsia" w:ascii="仿宋_GB2312" w:hAnsi="仿宋_GB2312" w:eastAsia="仿宋_GB2312" w:cs="仿宋_GB2312"/>
          <w:b/>
          <w:sz w:val="28"/>
          <w:szCs w:val="28"/>
          <w:highlight w:val="none"/>
        </w:rPr>
        <w:t>32.4不可抗力损失费用承担</w:t>
      </w:r>
      <w:bookmarkEnd w:id="293"/>
    </w:p>
    <w:p w14:paraId="75E4DC5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因不可抗力事件导致的费用及延误的工期由发包人和承包人按以下方法分别承担：</w:t>
      </w:r>
    </w:p>
    <w:p w14:paraId="67CF3BFC">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⑴工程本身的损害、因工程损害导致第三人人员伤亡和财产损失以及运至施工场地用于施工的材料和待安装的设备的损害，由发包人承担；</w:t>
      </w:r>
    </w:p>
    <w:p w14:paraId="4D166791">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⑵发包人、承包人人员伤亡由其所在单位负责，并承担相应费用；</w:t>
      </w:r>
    </w:p>
    <w:p w14:paraId="2263230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⑶承包人装备损坏、用于本工程的周转材料损坏及停工损失，由承包人承担；发包人提供的施工机械、设备发生损坏，由发包人承担；</w:t>
      </w:r>
    </w:p>
    <w:p w14:paraId="3A6C346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⑷因不可抗力导致停工期间，承包人应发包人或监理人要求留在施工场地的必要的管理人员及保卫人员的费用由发包人承担；</w:t>
      </w:r>
    </w:p>
    <w:p w14:paraId="7A445442">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⑸工程所需清理、修复费用，由发包人承担；</w:t>
      </w:r>
    </w:p>
    <w:p w14:paraId="37416F14">
      <w:pPr>
        <w:pageBreakBefore w:val="0"/>
        <w:kinsoku/>
        <w:overflowPunct/>
        <w:topLinePunct w:val="0"/>
        <w:autoSpaceDE/>
        <w:autoSpaceDN/>
        <w:bidi w:val="0"/>
        <w:adjustRightInd w:val="0"/>
        <w:snapToGrid w:val="0"/>
        <w:spacing w:line="560" w:lineRule="exact"/>
        <w:ind w:left="0" w:leftChars="0" w:right="0" w:rightChars="0" w:firstLine="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⑹延误的工期相应顺延。</w:t>
      </w:r>
    </w:p>
    <w:p w14:paraId="1BB7823B">
      <w:pPr>
        <w:pageBreakBefore w:val="0"/>
        <w:widowControl/>
        <w:kinsoku/>
        <w:overflowPunct/>
        <w:topLinePunct w:val="0"/>
        <w:autoSpaceDE/>
        <w:autoSpaceDN/>
        <w:bidi w:val="0"/>
        <w:adjustRightInd w:val="0"/>
        <w:snapToGrid w:val="0"/>
        <w:spacing w:line="560" w:lineRule="exact"/>
        <w:ind w:left="0" w:leftChars="0" w:right="0" w:rightChars="0" w:firstLine="200"/>
        <w:jc w:val="left"/>
        <w:textAlignment w:val="auto"/>
        <w:outlineLvl w:val="1"/>
        <w:rPr>
          <w:rFonts w:ascii="仿宋_GB2312" w:hAnsi="仿宋_GB2312" w:eastAsia="仿宋_GB2312" w:cs="仿宋_GB2312"/>
          <w:b/>
          <w:bCs w:val="0"/>
          <w:snapToGrid w:val="0"/>
          <w:kern w:val="0"/>
          <w:sz w:val="28"/>
          <w:szCs w:val="28"/>
          <w:highlight w:val="none"/>
        </w:rPr>
      </w:pPr>
      <w:bookmarkStart w:id="294" w:name="_Toc9951"/>
      <w:r>
        <w:rPr>
          <w:rFonts w:ascii="仿宋_GB2312" w:hAnsi="仿宋_GB2312" w:eastAsia="仿宋_GB2312" w:cs="仿宋_GB2312"/>
          <w:b/>
          <w:bCs w:val="0"/>
          <w:snapToGrid w:val="0"/>
          <w:kern w:val="0"/>
          <w:sz w:val="28"/>
          <w:szCs w:val="28"/>
          <w:highlight w:val="none"/>
        </w:rPr>
        <w:t>33.保险</w:t>
      </w:r>
      <w:bookmarkEnd w:id="294"/>
    </w:p>
    <w:p w14:paraId="7EE5B15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5" w:name="_Toc7844"/>
      <w:r>
        <w:rPr>
          <w:rFonts w:hint="eastAsia" w:ascii="仿宋_GB2312" w:hAnsi="仿宋_GB2312" w:eastAsia="仿宋_GB2312" w:cs="仿宋_GB2312"/>
          <w:b/>
          <w:sz w:val="28"/>
          <w:szCs w:val="28"/>
          <w:highlight w:val="none"/>
        </w:rPr>
        <w:t>33.1发包人办理的保险</w:t>
      </w:r>
      <w:bookmarkEnd w:id="295"/>
    </w:p>
    <w:p w14:paraId="4C6030F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程开工前，发包人应为本工程、施工场地内的自有人员、第三者人员生命财产、运至施工场地内用于永久工程的材料和待安装设备办理保险，支付保险费用。保险期从开工之日起至工程竣工验收合格之日止。发包人可以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的约定将上述有关保险事项委托承包人办理，费用由发包人承担。</w:t>
      </w:r>
    </w:p>
    <w:p w14:paraId="3728EB1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6" w:name="_Toc23732"/>
      <w:r>
        <w:rPr>
          <w:rFonts w:hint="eastAsia" w:ascii="仿宋_GB2312" w:hAnsi="仿宋_GB2312" w:eastAsia="仿宋_GB2312" w:cs="仿宋_GB2312"/>
          <w:b/>
          <w:sz w:val="28"/>
          <w:szCs w:val="28"/>
          <w:highlight w:val="none"/>
        </w:rPr>
        <w:t>33.2承包人办理的保险</w:t>
      </w:r>
      <w:bookmarkEnd w:id="296"/>
    </w:p>
    <w:p w14:paraId="6AADAA3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必须为从事危险作业的职工办理意外伤害保险，并为施工场地内的自有人员生命财产及施工机械设备办理保险，支付保险费用。保险期从开工之日起至工程竣工验收合格之日止。承包人在保险投保时还必须符合深圳市有关员工和机械、设备保险办理规定。对于分包人的人员，此类保险应由分包人投保，但承包人应对其符合本条规定负责。</w:t>
      </w:r>
    </w:p>
    <w:p w14:paraId="6438F12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承包人应当购买安全生产责任保险。保险期从开工之日起至工程竣工验收合格之日止。承包人在保险投保时还必须</w:t>
      </w:r>
      <w:r>
        <w:rPr>
          <w:rFonts w:hint="eastAsia" w:ascii="仿宋_GB2312" w:hAnsi="仿宋_GB2312" w:eastAsia="仿宋_GB2312" w:cs="仿宋_GB2312"/>
          <w:sz w:val="28"/>
          <w:szCs w:val="28"/>
          <w:highlight w:val="none"/>
          <w:lang w:eastAsia="zh-CN"/>
        </w:rPr>
        <w:t>符合有关法律</w:t>
      </w:r>
      <w:r>
        <w:rPr>
          <w:rFonts w:hint="eastAsia" w:ascii="仿宋_GB2312" w:hAnsi="仿宋_GB2312" w:eastAsia="仿宋_GB2312" w:cs="仿宋_GB2312"/>
          <w:sz w:val="28"/>
          <w:szCs w:val="28"/>
          <w:highlight w:val="none"/>
        </w:rPr>
        <w:t>规定。对于</w:t>
      </w:r>
      <w:r>
        <w:rPr>
          <w:rFonts w:hint="eastAsia" w:ascii="仿宋_GB2312" w:hAnsi="仿宋_GB2312" w:eastAsia="仿宋_GB2312" w:cs="仿宋_GB2312"/>
          <w:sz w:val="28"/>
          <w:szCs w:val="28"/>
          <w:highlight w:val="none"/>
          <w:lang w:eastAsia="zh-CN"/>
        </w:rPr>
        <w:t>实施分包的</w:t>
      </w:r>
      <w:r>
        <w:rPr>
          <w:rFonts w:hint="eastAsia" w:ascii="仿宋_GB2312" w:hAnsi="仿宋_GB2312" w:eastAsia="仿宋_GB2312" w:cs="仿宋_GB2312"/>
          <w:sz w:val="28"/>
          <w:szCs w:val="28"/>
          <w:highlight w:val="none"/>
        </w:rPr>
        <w:t>，此类保险应由分包人投保，但承包人应对其符合本条规定负责。</w:t>
      </w:r>
    </w:p>
    <w:p w14:paraId="7E75686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7" w:name="_Toc20246"/>
      <w:r>
        <w:rPr>
          <w:rFonts w:hint="eastAsia" w:ascii="仿宋_GB2312" w:hAnsi="仿宋_GB2312" w:eastAsia="仿宋_GB2312" w:cs="仿宋_GB2312"/>
          <w:b/>
          <w:sz w:val="28"/>
          <w:szCs w:val="28"/>
          <w:highlight w:val="none"/>
        </w:rPr>
        <w:t>33.3投保人责任</w:t>
      </w:r>
      <w:bookmarkEnd w:id="297"/>
    </w:p>
    <w:p w14:paraId="4D4B4FE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⑴发包人和承包人中一方应向另一方提供按本合同要求其投保的各项保险已经生效的证明。</w:t>
      </w:r>
    </w:p>
    <w:p w14:paraId="3336903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⑵当合同工程施工的性质、规模或工期以及人员发生变更时，被保险人应及时通知保险公司，并在合同履行期间按本合同保险条款的规定保证足够的保险额，因而造成的费用由责任人承担。</w:t>
      </w:r>
    </w:p>
    <w:p w14:paraId="55224C3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8" w:name="_Toc23597"/>
      <w:r>
        <w:rPr>
          <w:rFonts w:hint="eastAsia" w:ascii="仿宋_GB2312" w:hAnsi="仿宋_GB2312" w:eastAsia="仿宋_GB2312" w:cs="仿宋_GB2312"/>
          <w:b/>
          <w:sz w:val="28"/>
          <w:szCs w:val="28"/>
          <w:highlight w:val="none"/>
        </w:rPr>
        <w:t>33.4保险理赔</w:t>
      </w:r>
      <w:bookmarkEnd w:id="298"/>
    </w:p>
    <w:p w14:paraId="07D6B56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p>
    <w:p w14:paraId="0272DC2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⑵从保险公司收到的因合同工程本身损失或损坏的保险赔偿金,应专款用于修复合同工程这些损失或损坏，或作为对未能修复合同工程这些损失或损坏的补偿。</w:t>
      </w:r>
    </w:p>
    <w:p w14:paraId="3D8EC77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299" w:name="_Toc2664"/>
      <w:r>
        <w:rPr>
          <w:rFonts w:hint="eastAsia" w:ascii="仿宋_GB2312" w:hAnsi="仿宋_GB2312" w:eastAsia="仿宋_GB2312" w:cs="仿宋_GB2312"/>
          <w:b/>
          <w:sz w:val="28"/>
          <w:szCs w:val="28"/>
          <w:highlight w:val="none"/>
        </w:rPr>
        <w:t>33.5未按约定投保的补救</w:t>
      </w:r>
      <w:bookmarkEnd w:id="299"/>
    </w:p>
    <w:p w14:paraId="1AADDBD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⑴发包人未按合同约定办理保险，或未能使保险持续有效的，则承包人可代为办理，所需费用由发包人承担。发包人未按合同约定办理保险，导致未能得到足额赔偿的，由发包人负责补足。</w:t>
      </w:r>
    </w:p>
    <w:p w14:paraId="7E3EAA6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⑵承包人未按合同约定办理保险，或未能使保险持续有效的，则发包人可代为办理，所需费用由承包人承担。承包人未按合同约定办理保险，导致未能得到足额赔偿的，由承包人负责补足。</w:t>
      </w:r>
    </w:p>
    <w:p w14:paraId="7A950DB1">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ascii="仿宋_GB2312" w:hAnsi="仿宋_GB2312" w:eastAsia="仿宋_GB2312" w:cs="仿宋_GB2312"/>
          <w:b/>
          <w:bCs w:val="0"/>
          <w:snapToGrid w:val="0"/>
          <w:kern w:val="0"/>
          <w:sz w:val="28"/>
          <w:szCs w:val="28"/>
          <w:highlight w:val="none"/>
        </w:rPr>
      </w:pPr>
      <w:bookmarkStart w:id="300" w:name="_Toc14503"/>
      <w:r>
        <w:rPr>
          <w:rFonts w:ascii="仿宋_GB2312" w:hAnsi="仿宋_GB2312" w:eastAsia="仿宋_GB2312" w:cs="仿宋_GB2312"/>
          <w:b/>
          <w:bCs w:val="0"/>
          <w:snapToGrid w:val="0"/>
          <w:kern w:val="0"/>
          <w:sz w:val="28"/>
          <w:szCs w:val="28"/>
          <w:highlight w:val="none"/>
        </w:rPr>
        <w:t>34.工程担保</w:t>
      </w:r>
      <w:bookmarkEnd w:id="300"/>
    </w:p>
    <w:p w14:paraId="4E9ED76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301" w:name="_Toc5830"/>
      <w:bookmarkStart w:id="302" w:name="_Hlk10015745"/>
      <w:r>
        <w:rPr>
          <w:rFonts w:hint="eastAsia" w:ascii="仿宋_GB2312" w:hAnsi="仿宋_GB2312" w:eastAsia="仿宋_GB2312" w:cs="仿宋_GB2312"/>
          <w:b/>
          <w:sz w:val="28"/>
          <w:szCs w:val="28"/>
          <w:highlight w:val="none"/>
        </w:rPr>
        <w:t>34.1履约担保</w:t>
      </w:r>
      <w:bookmarkEnd w:id="301"/>
    </w:p>
    <w:bookmarkEnd w:id="302"/>
    <w:p w14:paraId="0739CC8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⑴发包人需要承包人提供履约担保的，承包人应按</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约定的金额和方式向发包人提交履约担保，履约担保应由保证人(银行、保险公司、担保公司)出具。</w:t>
      </w:r>
    </w:p>
    <w:p w14:paraId="5E3D4BB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bookmarkStart w:id="303" w:name="_Hlk4716282"/>
      <w:r>
        <w:rPr>
          <w:rFonts w:hint="eastAsia" w:ascii="仿宋_GB2312" w:hAnsi="仿宋_GB2312" w:eastAsia="仿宋_GB2312" w:cs="仿宋_GB2312"/>
          <w:sz w:val="28"/>
          <w:szCs w:val="28"/>
          <w:highlight w:val="none"/>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p>
    <w:bookmarkEnd w:id="303"/>
    <w:p w14:paraId="3FD33AF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04" w:name="_Toc18116"/>
      <w:r>
        <w:rPr>
          <w:rFonts w:hint="eastAsia" w:ascii="仿宋_GB2312" w:hAnsi="仿宋_GB2312" w:eastAsia="仿宋_GB2312" w:cs="仿宋_GB2312"/>
          <w:b/>
          <w:sz w:val="28"/>
          <w:szCs w:val="28"/>
          <w:highlight w:val="none"/>
        </w:rPr>
        <w:t>34.</w:t>
      </w:r>
      <w:r>
        <w:rPr>
          <w:rFonts w:ascii="仿宋_GB2312" w:hAnsi="仿宋_GB2312" w:eastAsia="仿宋_GB2312" w:cs="仿宋_GB2312"/>
          <w:b/>
          <w:sz w:val="28"/>
          <w:szCs w:val="28"/>
          <w:highlight w:val="none"/>
        </w:rPr>
        <w:t>2</w:t>
      </w:r>
      <w:r>
        <w:rPr>
          <w:rFonts w:hint="eastAsia" w:ascii="仿宋_GB2312" w:hAnsi="仿宋_GB2312" w:eastAsia="仿宋_GB2312" w:cs="仿宋_GB2312"/>
          <w:b/>
          <w:sz w:val="28"/>
          <w:szCs w:val="28"/>
          <w:highlight w:val="none"/>
        </w:rPr>
        <w:t>支付担保</w:t>
      </w:r>
      <w:bookmarkEnd w:id="304"/>
    </w:p>
    <w:p w14:paraId="1B2A715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val="en-US" w:eastAsia="zh-CN"/>
        </w:rPr>
        <w:t>（1）</w:t>
      </w:r>
      <w:r>
        <w:rPr>
          <w:rFonts w:hint="eastAsia" w:ascii="仿宋_GB2312" w:hAnsi="仿宋_GB2312" w:eastAsia="仿宋_GB2312" w:cs="仿宋_GB2312"/>
          <w:b w:val="0"/>
          <w:bCs/>
          <w:sz w:val="28"/>
          <w:szCs w:val="28"/>
          <w:highlight w:val="none"/>
        </w:rPr>
        <w:t>发包人和承包人在签订本合同的同时，发包人应按专用条款约定的金额和方式向承包人提交支付担保，支付担保应由保证人（银行、保险公司、担保公司）出具。</w:t>
      </w:r>
    </w:p>
    <w:p w14:paraId="26469FA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lang w:val="en-US" w:eastAsia="zh-CN"/>
        </w:rPr>
        <w:t>2</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p>
    <w:p w14:paraId="5CE29634">
      <w:pPr>
        <w:pageBreakBefore w:val="0"/>
        <w:kinsoku/>
        <w:overflowPunct/>
        <w:topLinePunct w:val="0"/>
        <w:autoSpaceDE/>
        <w:autoSpaceDN/>
        <w:bidi w:val="0"/>
        <w:adjustRightInd w:val="0"/>
        <w:snapToGrid w:val="0"/>
        <w:spacing w:line="560" w:lineRule="exact"/>
        <w:ind w:left="0" w:leftChars="0" w:right="0" w:rightChars="0" w:firstLine="0"/>
        <w:textAlignment w:val="auto"/>
        <w:outlineLvl w:val="2"/>
        <w:rPr>
          <w:rFonts w:ascii="仿宋_GB2312" w:hAnsi="仿宋_GB2312" w:eastAsia="仿宋_GB2312" w:cs="仿宋_GB2312"/>
          <w:b/>
          <w:sz w:val="28"/>
          <w:szCs w:val="28"/>
          <w:highlight w:val="none"/>
        </w:rPr>
      </w:pPr>
      <w:bookmarkStart w:id="305" w:name="_Toc2282"/>
      <w:r>
        <w:rPr>
          <w:rFonts w:hint="eastAsia" w:ascii="仿宋_GB2312" w:hAnsi="仿宋_GB2312" w:eastAsia="仿宋_GB2312" w:cs="仿宋_GB2312"/>
          <w:b/>
          <w:sz w:val="28"/>
          <w:szCs w:val="28"/>
          <w:highlight w:val="none"/>
        </w:rPr>
        <w:t>34.</w:t>
      </w:r>
      <w:r>
        <w:rPr>
          <w:rFonts w:hint="eastAsia" w:ascii="仿宋_GB2312" w:hAnsi="仿宋_GB2312" w:eastAsia="仿宋_GB2312" w:cs="仿宋_GB2312"/>
          <w:b/>
          <w:sz w:val="28"/>
          <w:szCs w:val="28"/>
          <w:highlight w:val="none"/>
          <w:lang w:val="en-US" w:eastAsia="zh-CN"/>
        </w:rPr>
        <w:t xml:space="preserve">3 </w:t>
      </w:r>
      <w:r>
        <w:rPr>
          <w:rFonts w:hint="eastAsia" w:ascii="仿宋_GB2312" w:hAnsi="仿宋_GB2312" w:eastAsia="仿宋_GB2312" w:cs="仿宋_GB2312"/>
          <w:b/>
          <w:sz w:val="28"/>
          <w:szCs w:val="28"/>
          <w:highlight w:val="none"/>
        </w:rPr>
        <w:t>保证人支付索赔款项</w:t>
      </w:r>
      <w:bookmarkEnd w:id="305"/>
    </w:p>
    <w:p w14:paraId="2B656FE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14:paraId="72FA9B35">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rPr>
        <w:t xml:space="preserve"> </w:t>
      </w:r>
      <w:r>
        <w:rPr>
          <w:rFonts w:hint="eastAsia" w:ascii="仿宋_GB2312" w:hAnsi="仿宋_GB2312" w:eastAsia="仿宋_GB2312" w:cs="仿宋_GB2312"/>
          <w:sz w:val="28"/>
          <w:szCs w:val="28"/>
          <w:highlight w:val="none"/>
        </w:rPr>
        <w:t>⑵如发包人在履行本合同中，由于资金不足或非不可抗力等原因给承包人造成损失时，承包人应书面通知发包人，说明导致索赔的原因，并及时向保证人提出索赔文件，保证人应无条件就担保金额向承包人支付索赔款项，无须征得发包人的同意。</w:t>
      </w:r>
    </w:p>
    <w:p w14:paraId="5239D097">
      <w:pPr>
        <w:pageBreakBefore w:val="0"/>
        <w:kinsoku/>
        <w:overflowPunct/>
        <w:topLinePunct w:val="0"/>
        <w:autoSpaceDE/>
        <w:autoSpaceDN/>
        <w:bidi w:val="0"/>
        <w:adjustRightInd w:val="0"/>
        <w:snapToGrid w:val="0"/>
        <w:spacing w:line="560" w:lineRule="exact"/>
        <w:ind w:left="0" w:leftChars="0" w:right="0" w:rightChars="0"/>
        <w:textAlignment w:val="auto"/>
        <w:outlineLvl w:val="2"/>
        <w:rPr>
          <w:rFonts w:hint="eastAsia" w:ascii="仿宋_GB2312" w:hAnsi="仿宋_GB2312" w:eastAsia="仿宋_GB2312" w:cs="仿宋_GB2312"/>
          <w:b/>
          <w:sz w:val="28"/>
          <w:szCs w:val="28"/>
          <w:highlight w:val="none"/>
        </w:rPr>
      </w:pPr>
      <w:bookmarkStart w:id="306" w:name="_Toc30854"/>
      <w:r>
        <w:rPr>
          <w:rFonts w:hint="eastAsia" w:ascii="仿宋_GB2312" w:hAnsi="仿宋_GB2312" w:eastAsia="仿宋_GB2312" w:cs="仿宋_GB2312"/>
          <w:b/>
          <w:sz w:val="28"/>
          <w:szCs w:val="28"/>
          <w:highlight w:val="none"/>
        </w:rPr>
        <w:t>34.</w:t>
      </w:r>
      <w:r>
        <w:rPr>
          <w:rFonts w:hint="default" w:ascii="仿宋_GB2312" w:hAnsi="仿宋_GB2312" w:eastAsia="仿宋_GB2312" w:cs="仿宋_GB2312"/>
          <w:b/>
          <w:sz w:val="28"/>
          <w:szCs w:val="28"/>
          <w:highlight w:val="none"/>
        </w:rPr>
        <w:t>4</w:t>
      </w:r>
      <w:r>
        <w:rPr>
          <w:rFonts w:hint="eastAsia" w:ascii="仿宋_GB2312" w:hAnsi="仿宋_GB2312" w:eastAsia="仿宋_GB2312" w:cs="仿宋_GB2312"/>
          <w:b/>
          <w:sz w:val="28"/>
          <w:szCs w:val="28"/>
          <w:highlight w:val="none"/>
        </w:rPr>
        <w:t xml:space="preserve"> 留置或追加支付担保</w:t>
      </w:r>
      <w:bookmarkEnd w:id="306"/>
    </w:p>
    <w:p w14:paraId="597F6A5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在工程竣工验收时，承包人可留置与预计未结算工程价款相当的标的物，或者要求发包人提供追加支付担保。追加支付担保金额应由发包人和承包人根据预计未结算工程价款款额按34.2⑴款约定确定。追加支付担保的办理及索赔程序同支付担保。</w:t>
      </w:r>
    </w:p>
    <w:p w14:paraId="6942BE2A">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ascii="仿宋_GB2312" w:hAnsi="仿宋_GB2312" w:eastAsia="仿宋_GB2312" w:cs="仿宋_GB2312"/>
          <w:b/>
          <w:bCs w:val="0"/>
          <w:snapToGrid w:val="0"/>
          <w:kern w:val="0"/>
          <w:sz w:val="28"/>
          <w:szCs w:val="28"/>
          <w:highlight w:val="none"/>
        </w:rPr>
      </w:pPr>
      <w:bookmarkStart w:id="307" w:name="_Toc16951"/>
      <w:r>
        <w:rPr>
          <w:rFonts w:ascii="仿宋_GB2312" w:hAnsi="仿宋_GB2312" w:eastAsia="仿宋_GB2312" w:cs="仿宋_GB2312"/>
          <w:b/>
          <w:bCs w:val="0"/>
          <w:snapToGrid w:val="0"/>
          <w:kern w:val="0"/>
          <w:sz w:val="28"/>
          <w:szCs w:val="28"/>
          <w:highlight w:val="none"/>
        </w:rPr>
        <w:t>35.合同的生效、终止和解除</w:t>
      </w:r>
      <w:bookmarkEnd w:id="307"/>
    </w:p>
    <w:p w14:paraId="1DEC3DE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308" w:name="_Toc11146"/>
      <w:r>
        <w:rPr>
          <w:rFonts w:hint="eastAsia" w:ascii="仿宋_GB2312" w:hAnsi="仿宋_GB2312" w:eastAsia="仿宋_GB2312" w:cs="仿宋_GB2312"/>
          <w:b/>
          <w:sz w:val="28"/>
          <w:szCs w:val="28"/>
          <w:highlight w:val="none"/>
        </w:rPr>
        <w:t>35.1合同的生效</w:t>
      </w:r>
      <w:bookmarkEnd w:id="308"/>
    </w:p>
    <w:p w14:paraId="74ABF757">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发包人和承包人在协议书中约定本合同生效的方式。</w:t>
      </w:r>
    </w:p>
    <w:p w14:paraId="5E6743D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309" w:name="_Toc11405"/>
      <w:r>
        <w:rPr>
          <w:rFonts w:hint="eastAsia" w:ascii="仿宋_GB2312" w:hAnsi="仿宋_GB2312" w:eastAsia="仿宋_GB2312" w:cs="仿宋_GB2312"/>
          <w:b/>
          <w:sz w:val="28"/>
          <w:szCs w:val="28"/>
          <w:highlight w:val="none"/>
        </w:rPr>
        <w:t>35.2合同的终止</w:t>
      </w:r>
      <w:bookmarkEnd w:id="309"/>
    </w:p>
    <w:p w14:paraId="7CDE377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⑴除第30条有关争议及第31条有关缺陷责任外，发包人和承包人履行本合同全部义务，工程竣工交付完毕，工程竣工结算价款支付完毕，本合同即告终止。</w:t>
      </w:r>
    </w:p>
    <w:p w14:paraId="71FD1EDF">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⑵本合同的权利义务终止后，发包人和承包人应遵循诚实信用原则，履行通知、协助、保密等义务。</w:t>
      </w:r>
    </w:p>
    <w:p w14:paraId="2B35D31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310" w:name="_Toc510"/>
      <w:r>
        <w:rPr>
          <w:rFonts w:hint="eastAsia" w:ascii="仿宋_GB2312" w:hAnsi="仿宋_GB2312" w:eastAsia="仿宋_GB2312" w:cs="仿宋_GB2312"/>
          <w:b/>
          <w:sz w:val="28"/>
          <w:szCs w:val="28"/>
          <w:highlight w:val="none"/>
        </w:rPr>
        <w:t>35.3解除合同的情形</w:t>
      </w:r>
      <w:bookmarkEnd w:id="310"/>
    </w:p>
    <w:p w14:paraId="6F57FC0B">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⑴发包人和承包人协商一致，可以解除合同。</w:t>
      </w:r>
    </w:p>
    <w:p w14:paraId="7EC39118">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⑵发生第6.1款和第6.2款禁止的情况，承包人将其承包的全部工程或任何部分转让给他人，或者将其承包的全部工程肢解分包，发包人有权解除合同。</w:t>
      </w:r>
    </w:p>
    <w:p w14:paraId="19E388F9">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⑶因不可抗力导致合同无法履行连续超过84天或累计超过140天的，发包人和承包人均有权解除合同；</w:t>
      </w:r>
    </w:p>
    <w:p w14:paraId="3A878BAC">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⑷因一方违约(包括因发包人原因造成工程停建或缓建)致使合同无法履行，另一方可以解除合同。</w:t>
      </w:r>
    </w:p>
    <w:p w14:paraId="7A868C8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311" w:name="_Toc2545"/>
      <w:r>
        <w:rPr>
          <w:rFonts w:hint="eastAsia" w:ascii="仿宋_GB2312" w:hAnsi="仿宋_GB2312" w:eastAsia="仿宋_GB2312" w:cs="仿宋_GB2312"/>
          <w:b/>
          <w:sz w:val="28"/>
          <w:szCs w:val="28"/>
          <w:highlight w:val="none"/>
        </w:rPr>
        <w:t>35.4解除合同的程序</w:t>
      </w:r>
      <w:bookmarkEnd w:id="311"/>
    </w:p>
    <w:p w14:paraId="3F508BBA">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⑴发包人和承包人一方按第35.3款要求解除合同的，应以书面形式向对方发出解除合同的通知，双方签订解除合同协议后本合同解除。</w:t>
      </w:r>
    </w:p>
    <w:p w14:paraId="45AB2BB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p>
    <w:p w14:paraId="539027BE">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⑶合同解除后，不影响发包人和承包人在合同中约定的结算和清理条款的效力。</w:t>
      </w:r>
    </w:p>
    <w:p w14:paraId="318439BC">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ascii="仿宋_GB2312" w:hAnsi="仿宋_GB2312" w:eastAsia="仿宋_GB2312" w:cs="仿宋_GB2312"/>
          <w:b/>
          <w:bCs w:val="0"/>
          <w:snapToGrid w:val="0"/>
          <w:kern w:val="0"/>
          <w:sz w:val="28"/>
          <w:szCs w:val="28"/>
          <w:highlight w:val="none"/>
        </w:rPr>
      </w:pPr>
      <w:bookmarkStart w:id="312" w:name="_Toc25654"/>
      <w:r>
        <w:rPr>
          <w:rFonts w:ascii="仿宋_GB2312" w:hAnsi="仿宋_GB2312" w:eastAsia="仿宋_GB2312" w:cs="仿宋_GB2312"/>
          <w:b/>
          <w:bCs w:val="0"/>
          <w:snapToGrid w:val="0"/>
          <w:kern w:val="0"/>
          <w:sz w:val="28"/>
          <w:szCs w:val="28"/>
          <w:highlight w:val="none"/>
        </w:rPr>
        <w:t>36.合同份数与合同备案</w:t>
      </w:r>
      <w:bookmarkEnd w:id="312"/>
    </w:p>
    <w:p w14:paraId="7F88916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313" w:name="_Toc7740"/>
      <w:r>
        <w:rPr>
          <w:rFonts w:hint="eastAsia" w:ascii="仿宋_GB2312" w:hAnsi="仿宋_GB2312" w:eastAsia="仿宋_GB2312" w:cs="仿宋_GB2312"/>
          <w:b/>
          <w:sz w:val="28"/>
          <w:szCs w:val="28"/>
          <w:highlight w:val="none"/>
        </w:rPr>
        <w:t>36.1合同份数</w:t>
      </w:r>
      <w:bookmarkEnd w:id="313"/>
    </w:p>
    <w:p w14:paraId="67A33ED4">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⑴本合同正本两份，由发包人和承包人分别保存一份。</w:t>
      </w:r>
    </w:p>
    <w:p w14:paraId="39B87DFD">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⑵发包人和承包人按有关规定在</w:t>
      </w:r>
      <w:r>
        <w:rPr>
          <w:rFonts w:hint="eastAsia" w:ascii="仿宋_GB2312" w:hAnsi="仿宋_GB2312" w:eastAsia="仿宋_GB2312" w:cs="仿宋_GB2312"/>
          <w:b/>
          <w:i/>
          <w:sz w:val="28"/>
          <w:szCs w:val="28"/>
          <w:highlight w:val="none"/>
        </w:rPr>
        <w:t>专用条款</w:t>
      </w:r>
      <w:r>
        <w:rPr>
          <w:rFonts w:hint="eastAsia" w:ascii="仿宋_GB2312" w:hAnsi="仿宋_GB2312" w:eastAsia="仿宋_GB2312" w:cs="仿宋_GB2312"/>
          <w:sz w:val="28"/>
          <w:szCs w:val="28"/>
          <w:highlight w:val="none"/>
        </w:rPr>
        <w:t>中约定本合同副本的份数及保存单位，本合同正副本均具有同等效力。</w:t>
      </w:r>
    </w:p>
    <w:p w14:paraId="39E9231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ascii="仿宋_GB2312" w:hAnsi="仿宋_GB2312" w:eastAsia="仿宋_GB2312" w:cs="仿宋_GB2312"/>
          <w:b/>
          <w:sz w:val="28"/>
          <w:szCs w:val="28"/>
          <w:highlight w:val="none"/>
        </w:rPr>
      </w:pPr>
      <w:bookmarkStart w:id="314" w:name="_Toc30743"/>
      <w:r>
        <w:rPr>
          <w:rFonts w:hint="eastAsia" w:ascii="仿宋_GB2312" w:hAnsi="仿宋_GB2312" w:eastAsia="仿宋_GB2312" w:cs="仿宋_GB2312"/>
          <w:b/>
          <w:sz w:val="28"/>
          <w:szCs w:val="28"/>
          <w:highlight w:val="none"/>
        </w:rPr>
        <w:t>36.2合同备案</w:t>
      </w:r>
      <w:bookmarkEnd w:id="314"/>
    </w:p>
    <w:p w14:paraId="38BD7753">
      <w:pPr>
        <w:pageBreakBefore w:val="0"/>
        <w:kinsoku/>
        <w:overflowPunct/>
        <w:topLinePunct w:val="0"/>
        <w:autoSpaceDE/>
        <w:autoSpaceDN/>
        <w:bidi w:val="0"/>
        <w:adjustRightInd w:val="0"/>
        <w:snapToGrid w:val="0"/>
        <w:spacing w:line="560" w:lineRule="exact"/>
        <w:ind w:left="0" w:leftChars="0" w:right="0" w:rightChars="0" w:firstLine="546" w:firstLineChars="195"/>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订立书面合同后，发包人应在规定时限内将本合同送建设行政主管部门或建设行政主管部门指定机构进行合同备案。</w:t>
      </w:r>
    </w:p>
    <w:p w14:paraId="4E31F1E1">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880" w:firstLineChars="200"/>
        <w:jc w:val="center"/>
        <w:textAlignment w:val="auto"/>
        <w:rPr>
          <w:rFonts w:ascii="仿宋_GB2312" w:hAnsi="仿宋_GB2312" w:eastAsia="仿宋_GB2312" w:cs="仿宋_GB2312"/>
          <w:szCs w:val="28"/>
          <w:highlight w:val="none"/>
        </w:rPr>
      </w:pPr>
      <w:r>
        <w:rPr>
          <w:rFonts w:hint="eastAsia" w:ascii="仿宋_GB2312" w:hAnsi="仿宋_GB2312" w:eastAsia="仿宋_GB2312" w:cs="仿宋_GB2312"/>
          <w:b w:val="0"/>
          <w:szCs w:val="28"/>
          <w:highlight w:val="none"/>
        </w:rPr>
        <w:br w:type="page"/>
      </w:r>
      <w:bookmarkStart w:id="315" w:name="_Toc27499"/>
      <w:r>
        <w:rPr>
          <w:rFonts w:hint="eastAsia" w:ascii="仿宋_GB2312" w:hAnsi="仿宋_GB2312" w:eastAsia="仿宋_GB2312" w:cs="仿宋_GB2312"/>
          <w:b w:val="0"/>
          <w:szCs w:val="28"/>
          <w:highlight w:val="none"/>
        </w:rPr>
        <w:t>第三部分  专用条款</w:t>
      </w:r>
      <w:bookmarkEnd w:id="315"/>
    </w:p>
    <w:p w14:paraId="078466FE">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316" w:name="_Toc302635940"/>
      <w:bookmarkStart w:id="317" w:name="_Toc492905201"/>
      <w:bookmarkStart w:id="318" w:name="_Toc1202"/>
      <w:bookmarkStart w:id="319" w:name="_Toc35656516"/>
      <w:bookmarkStart w:id="320" w:name="_Toc305331433"/>
      <w:r>
        <w:rPr>
          <w:rFonts w:hint="eastAsia" w:ascii="仿宋_GB2312" w:hAnsi="仿宋_GB2312" w:eastAsia="仿宋_GB2312" w:cs="仿宋_GB2312"/>
          <w:b/>
          <w:bCs w:val="0"/>
          <w:snapToGrid w:val="0"/>
          <w:kern w:val="0"/>
          <w:sz w:val="28"/>
          <w:szCs w:val="28"/>
          <w:highlight w:val="none"/>
        </w:rPr>
        <w:t>1</w:t>
      </w:r>
      <w:r>
        <w:rPr>
          <w:rFonts w:ascii="仿宋_GB2312" w:hAnsi="仿宋_GB2312" w:eastAsia="仿宋_GB2312" w:cs="仿宋_GB2312"/>
          <w:b/>
          <w:bCs w:val="0"/>
          <w:snapToGrid w:val="0"/>
          <w:kern w:val="0"/>
          <w:sz w:val="28"/>
          <w:szCs w:val="28"/>
          <w:highlight w:val="none"/>
        </w:rPr>
        <w:t xml:space="preserve"> </w:t>
      </w:r>
      <w:r>
        <w:rPr>
          <w:rFonts w:hint="eastAsia" w:ascii="仿宋_GB2312" w:hAnsi="仿宋_GB2312" w:eastAsia="仿宋_GB2312" w:cs="仿宋_GB2312"/>
          <w:b/>
          <w:bCs w:val="0"/>
          <w:snapToGrid w:val="0"/>
          <w:kern w:val="0"/>
          <w:sz w:val="28"/>
          <w:szCs w:val="28"/>
          <w:highlight w:val="none"/>
        </w:rPr>
        <w:t>词语定义</w:t>
      </w:r>
      <w:bookmarkEnd w:id="316"/>
      <w:bookmarkEnd w:id="317"/>
      <w:bookmarkEnd w:id="318"/>
    </w:p>
    <w:p w14:paraId="1EBFEB9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发包人和承包人另行约定的词语定义如下：</w:t>
      </w:r>
    </w:p>
    <w:p w14:paraId="5CB0DF9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p>
    <w:p w14:paraId="5A776B8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p>
    <w:p w14:paraId="3339463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21" w:name="_Toc492905202"/>
      <w:bookmarkStart w:id="322" w:name="_Toc15687"/>
      <w:bookmarkStart w:id="323" w:name="_Toc302635941"/>
      <w:r>
        <w:rPr>
          <w:rFonts w:hint="eastAsia" w:ascii="仿宋_GB2312" w:hAnsi="仿宋_GB2312" w:eastAsia="仿宋_GB2312" w:cs="仿宋_GB2312"/>
          <w:b/>
          <w:sz w:val="28"/>
          <w:szCs w:val="28"/>
          <w:highlight w:val="none"/>
        </w:rPr>
        <w:t>1.2 合同文件</w:t>
      </w:r>
      <w:bookmarkEnd w:id="321"/>
      <w:bookmarkEnd w:id="322"/>
      <w:bookmarkEnd w:id="323"/>
    </w:p>
    <w:p w14:paraId="39F53A3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lang w:eastAsia="zh-CN"/>
        </w:rPr>
        <w:t>（</w:t>
      </w:r>
      <w:r>
        <w:rPr>
          <w:rFonts w:hint="default" w:ascii="仿宋_GB2312" w:hAnsi="仿宋_GB2312" w:eastAsia="仿宋_GB2312" w:cs="仿宋_GB2312"/>
          <w:bCs/>
          <w:snapToGrid w:val="0"/>
          <w:kern w:val="0"/>
          <w:sz w:val="28"/>
          <w:szCs w:val="28"/>
          <w:highlight w:val="none"/>
          <w:lang w:val="en-US" w:eastAsia="zh-CN"/>
        </w:rPr>
        <w:t>6</w:t>
      </w:r>
      <w:r>
        <w:rPr>
          <w:rFonts w:hint="eastAsia" w:ascii="仿宋_GB2312" w:hAnsi="仿宋_GB2312" w:eastAsia="仿宋_GB2312" w:cs="仿宋_GB2312"/>
          <w:bCs/>
          <w:snapToGrid w:val="0"/>
          <w:kern w:val="0"/>
          <w:sz w:val="28"/>
          <w:szCs w:val="28"/>
          <w:highlight w:val="none"/>
          <w:lang w:eastAsia="zh-CN"/>
        </w:rPr>
        <w:t>）</w:t>
      </w:r>
      <w:r>
        <w:rPr>
          <w:rFonts w:hint="eastAsia" w:ascii="仿宋_GB2312" w:hAnsi="仿宋_GB2312" w:eastAsia="仿宋_GB2312" w:cs="仿宋_GB2312"/>
          <w:bCs/>
          <w:snapToGrid w:val="0"/>
          <w:kern w:val="0"/>
          <w:sz w:val="28"/>
          <w:szCs w:val="28"/>
          <w:highlight w:val="none"/>
        </w:rPr>
        <w:t>其他合同文件包括：</w:t>
      </w:r>
    </w:p>
    <w:p w14:paraId="4542BB9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rPr>
      </w:pPr>
    </w:p>
    <w:p w14:paraId="39C8B541">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p>
    <w:p w14:paraId="6BE492C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24" w:name="_Toc302635942"/>
      <w:bookmarkStart w:id="325" w:name="_Toc492905203"/>
      <w:bookmarkStart w:id="326" w:name="_Toc11194"/>
      <w:r>
        <w:rPr>
          <w:rFonts w:hint="eastAsia" w:ascii="仿宋_GB2312" w:hAnsi="仿宋_GB2312" w:eastAsia="仿宋_GB2312" w:cs="仿宋_GB2312"/>
          <w:b/>
          <w:sz w:val="28"/>
          <w:szCs w:val="28"/>
          <w:highlight w:val="none"/>
        </w:rPr>
        <w:t>1.8 书面形式</w:t>
      </w:r>
      <w:bookmarkEnd w:id="324"/>
      <w:bookmarkEnd w:id="325"/>
      <w:bookmarkEnd w:id="326"/>
    </w:p>
    <w:p w14:paraId="7F5C536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（2）本合同全部或部分采用手写形式进行填写的，发包人和承包人共同指定的填写人的姓名：</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，身份证号码：</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1BF6DB7D">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327" w:name="_Toc492905204"/>
      <w:bookmarkStart w:id="328" w:name="_Toc302635943"/>
      <w:bookmarkStart w:id="329" w:name="_Toc26494"/>
      <w:r>
        <w:rPr>
          <w:rFonts w:hint="eastAsia" w:ascii="仿宋_GB2312" w:hAnsi="仿宋_GB2312" w:eastAsia="仿宋_GB2312" w:cs="仿宋_GB2312"/>
          <w:b/>
          <w:bCs w:val="0"/>
          <w:snapToGrid w:val="0"/>
          <w:kern w:val="0"/>
          <w:sz w:val="28"/>
          <w:szCs w:val="28"/>
          <w:highlight w:val="none"/>
        </w:rPr>
        <w:t xml:space="preserve">2 </w:t>
      </w:r>
      <w:bookmarkEnd w:id="319"/>
      <w:bookmarkEnd w:id="320"/>
      <w:bookmarkEnd w:id="327"/>
      <w:bookmarkEnd w:id="328"/>
      <w:r>
        <w:rPr>
          <w:rFonts w:hint="eastAsia" w:ascii="仿宋_GB2312" w:hAnsi="仿宋_GB2312" w:eastAsia="仿宋_GB2312" w:cs="仿宋_GB2312"/>
          <w:b/>
          <w:bCs w:val="0"/>
          <w:snapToGrid w:val="0"/>
          <w:kern w:val="0"/>
          <w:sz w:val="28"/>
          <w:szCs w:val="28"/>
          <w:highlight w:val="none"/>
        </w:rPr>
        <w:t>一般约定</w:t>
      </w:r>
      <w:bookmarkEnd w:id="329"/>
    </w:p>
    <w:p w14:paraId="4CF6ED9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30" w:name="_Toc302635944"/>
      <w:bookmarkStart w:id="331" w:name="_Toc28612"/>
      <w:bookmarkStart w:id="332" w:name="_Toc305331434"/>
      <w:bookmarkStart w:id="333" w:name="_Toc492905205"/>
      <w:r>
        <w:rPr>
          <w:rFonts w:hint="eastAsia" w:ascii="仿宋_GB2312" w:hAnsi="仿宋_GB2312" w:eastAsia="仿宋_GB2312" w:cs="仿宋_GB2312"/>
          <w:b/>
          <w:sz w:val="28"/>
          <w:szCs w:val="28"/>
          <w:highlight w:val="none"/>
        </w:rPr>
        <w:t>2.4 法律、法规和规章</w:t>
      </w:r>
      <w:bookmarkEnd w:id="330"/>
      <w:bookmarkEnd w:id="331"/>
      <w:bookmarkEnd w:id="332"/>
      <w:bookmarkEnd w:id="333"/>
    </w:p>
    <w:p w14:paraId="2D9FD151">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需要明示的法律、法规、规章：</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3DC494C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34" w:name="_Toc305331435"/>
      <w:bookmarkStart w:id="335" w:name="_Toc492905206"/>
      <w:bookmarkStart w:id="336" w:name="_Toc29037"/>
      <w:bookmarkStart w:id="337" w:name="_Toc302635945"/>
      <w:bookmarkStart w:id="338" w:name="_Toc35656521"/>
      <w:r>
        <w:rPr>
          <w:rFonts w:hint="eastAsia" w:ascii="仿宋_GB2312" w:hAnsi="仿宋_GB2312" w:eastAsia="仿宋_GB2312" w:cs="仿宋_GB2312"/>
          <w:b/>
          <w:sz w:val="28"/>
          <w:szCs w:val="28"/>
          <w:highlight w:val="none"/>
        </w:rPr>
        <w:t>2.5标准、规范</w:t>
      </w:r>
      <w:bookmarkEnd w:id="334"/>
      <w:bookmarkEnd w:id="335"/>
      <w:bookmarkEnd w:id="336"/>
      <w:bookmarkEnd w:id="337"/>
    </w:p>
    <w:p w14:paraId="21B3E985">
      <w:pPr>
        <w:pageBreakBefore w:val="0"/>
        <w:numPr>
          <w:ilvl w:val="0"/>
          <w:numId w:val="6"/>
        </w:numPr>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技术标准、功能要求高于现行国家、行业或地方标准的约定：</w:t>
      </w:r>
      <w:r>
        <w:rPr>
          <w:rFonts w:hint="eastAsia" w:ascii="仿宋_GB2312" w:hAnsi="仿宋_GB2312" w:eastAsia="仿宋_GB2312" w:cs="仿宋_GB2312"/>
          <w:bCs/>
          <w:snapToGrid w:val="0"/>
          <w:kern w:val="0"/>
          <w:sz w:val="28"/>
          <w:szCs w:val="28"/>
          <w:highlight w:val="none"/>
          <w:u w:val="single"/>
        </w:rPr>
        <w:t xml:space="preserve"> </w:t>
      </w:r>
    </w:p>
    <w:p w14:paraId="452C7648">
      <w:pPr>
        <w:pageBreakBefore w:val="0"/>
        <w:numPr>
          <w:ilvl w:val="0"/>
          <w:numId w:val="0"/>
        </w:numPr>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lang w:val="en-US"/>
        </w:rPr>
        <w:t xml:space="preserve">   </w:t>
      </w:r>
      <w:r>
        <w:rPr>
          <w:rFonts w:hint="eastAsia" w:ascii="仿宋_GB2312" w:hAnsi="仿宋_GB2312" w:eastAsia="仿宋_GB2312" w:cs="仿宋_GB2312"/>
          <w:bCs/>
          <w:snapToGrid w:val="0"/>
          <w:kern w:val="0"/>
          <w:sz w:val="28"/>
          <w:szCs w:val="28"/>
          <w:highlight w:val="none"/>
        </w:rPr>
        <w:t xml:space="preserve">                                                  </w:t>
      </w:r>
    </w:p>
    <w:p w14:paraId="5791135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(4)用于本工程的标准、规范的提供方式：</w:t>
      </w:r>
    </w:p>
    <w:p w14:paraId="26D820FB">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由发包人在本合同签订后</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天内向承包人提供</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套标准、规范；</w:t>
      </w:r>
    </w:p>
    <w:p w14:paraId="04DD0F80">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由承包人自备。</w:t>
      </w:r>
    </w:p>
    <w:p w14:paraId="5D54C15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39" w:name="_Toc30066"/>
      <w:bookmarkStart w:id="340" w:name="_Toc305331436"/>
      <w:bookmarkStart w:id="341" w:name="_Toc302635946"/>
      <w:bookmarkStart w:id="342" w:name="_Toc492905207"/>
      <w:r>
        <w:rPr>
          <w:rFonts w:hint="eastAsia" w:ascii="仿宋_GB2312" w:hAnsi="仿宋_GB2312" w:eastAsia="仿宋_GB2312" w:cs="仿宋_GB2312"/>
          <w:b/>
          <w:sz w:val="28"/>
          <w:szCs w:val="28"/>
          <w:highlight w:val="none"/>
        </w:rPr>
        <w:t>2.6图纸和技术资料的提供</w:t>
      </w:r>
      <w:bookmarkEnd w:id="339"/>
      <w:bookmarkEnd w:id="340"/>
      <w:bookmarkEnd w:id="341"/>
      <w:bookmarkEnd w:id="342"/>
    </w:p>
    <w:p w14:paraId="10336851">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(1)发包人应在本合同签订后</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天内向承包人提供</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套完整的施工图和其它技术资料。</w:t>
      </w:r>
    </w:p>
    <w:p w14:paraId="33BAB70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(4)承包人发现发包人提供的图纸存在差错、遗漏或缺陷的，应在</w:t>
      </w:r>
    </w:p>
    <w:p w14:paraId="3FB440B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天内通知监理人。监理人应附具相关意见并在</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天内报送发包人，发包人应在收到监理人报送的通知后在</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天内作出决定。</w:t>
      </w:r>
    </w:p>
    <w:p w14:paraId="513CBB9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43" w:name="_Toc302635947"/>
      <w:bookmarkStart w:id="344" w:name="_Toc1306"/>
      <w:bookmarkStart w:id="345" w:name="_Toc492905208"/>
      <w:r>
        <w:rPr>
          <w:rFonts w:hint="eastAsia" w:ascii="仿宋_GB2312" w:hAnsi="仿宋_GB2312" w:eastAsia="仿宋_GB2312" w:cs="仿宋_GB2312"/>
          <w:b/>
          <w:sz w:val="28"/>
          <w:szCs w:val="28"/>
          <w:highlight w:val="none"/>
        </w:rPr>
        <w:t>2.8补充图纸和资料</w:t>
      </w:r>
      <w:bookmarkEnd w:id="343"/>
      <w:bookmarkEnd w:id="344"/>
      <w:bookmarkEnd w:id="345"/>
    </w:p>
    <w:p w14:paraId="502B58D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发包人应在工程施工前</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日内向承包人提供</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套该部分工程的补充施工图(含深化设计图纸)和其它技术资料。</w:t>
      </w:r>
    </w:p>
    <w:p w14:paraId="3D88142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46" w:name="_Toc7918"/>
      <w:bookmarkStart w:id="347" w:name="_Toc492905209"/>
      <w:r>
        <w:rPr>
          <w:rFonts w:hint="eastAsia" w:ascii="仿宋_GB2312" w:hAnsi="仿宋_GB2312" w:eastAsia="仿宋_GB2312" w:cs="仿宋_GB2312"/>
          <w:b/>
          <w:sz w:val="28"/>
          <w:szCs w:val="28"/>
          <w:highlight w:val="none"/>
        </w:rPr>
        <w:t>2.10 竣工图</w:t>
      </w:r>
      <w:bookmarkEnd w:id="346"/>
      <w:bookmarkEnd w:id="347"/>
    </w:p>
    <w:p w14:paraId="48FB98B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(1)关于竣工图编制的约定：</w:t>
      </w:r>
      <w:r>
        <w:rPr>
          <w:rFonts w:hint="eastAsia" w:ascii="宋体" w:hAnsi="宋体"/>
          <w:sz w:val="24"/>
          <w:highlight w:val="none"/>
          <w:u w:val="single"/>
        </w:rPr>
        <w:t xml:space="preserve">                                             </w:t>
      </w:r>
      <w:r>
        <w:rPr>
          <w:rFonts w:hint="eastAsia" w:ascii="宋体" w:hAnsi="宋体"/>
          <w:bCs/>
          <w:sz w:val="24"/>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7877501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48" w:name="_Toc25402"/>
      <w:bookmarkStart w:id="349" w:name="_Toc305331437"/>
      <w:bookmarkStart w:id="350" w:name="_Toc302635948"/>
      <w:bookmarkStart w:id="351" w:name="_Toc492905210"/>
      <w:r>
        <w:rPr>
          <w:rFonts w:hint="eastAsia" w:ascii="仿宋_GB2312" w:hAnsi="仿宋_GB2312" w:eastAsia="仿宋_GB2312" w:cs="仿宋_GB2312"/>
          <w:b/>
          <w:sz w:val="28"/>
          <w:szCs w:val="28"/>
          <w:highlight w:val="none"/>
        </w:rPr>
        <w:t>2.11 通知</w:t>
      </w:r>
      <w:bookmarkEnd w:id="338"/>
      <w:bookmarkEnd w:id="348"/>
      <w:bookmarkEnd w:id="349"/>
      <w:bookmarkEnd w:id="350"/>
      <w:bookmarkEnd w:id="351"/>
    </w:p>
    <w:p w14:paraId="4E4040C0">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(1)承包人的地址：</w:t>
      </w:r>
      <w:r>
        <w:rPr>
          <w:rFonts w:hint="eastAsia" w:ascii="仿宋_GB2312" w:hAnsi="仿宋_GB2312" w:eastAsia="仿宋_GB2312" w:cs="仿宋_GB2312"/>
          <w:bCs/>
          <w:snapToGrid w:val="0"/>
          <w:kern w:val="0"/>
          <w:sz w:val="28"/>
          <w:szCs w:val="28"/>
          <w:highlight w:val="none"/>
          <w:u w:val="single"/>
        </w:rPr>
        <w:t xml:space="preserve">                                   </w:t>
      </w:r>
    </w:p>
    <w:p w14:paraId="7101E98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default" w:ascii="仿宋_GB2312" w:hAnsi="仿宋_GB2312" w:eastAsia="仿宋_GB2312" w:cs="仿宋_GB2312"/>
          <w:bCs/>
          <w:snapToGrid w:val="0"/>
          <w:kern w:val="0"/>
          <w:sz w:val="28"/>
          <w:szCs w:val="28"/>
          <w:highlight w:val="none"/>
          <w:lang w:val="en-US" w:eastAsia="zh-CN"/>
        </w:rPr>
      </w:pPr>
      <w:r>
        <w:rPr>
          <w:rFonts w:hint="eastAsia" w:ascii="仿宋_GB2312" w:hAnsi="仿宋_GB2312" w:eastAsia="仿宋_GB2312" w:cs="仿宋_GB2312"/>
          <w:bCs/>
          <w:snapToGrid w:val="0"/>
          <w:kern w:val="0"/>
          <w:sz w:val="28"/>
          <w:szCs w:val="28"/>
          <w:highlight w:val="none"/>
        </w:rPr>
        <w:t>联系人：</w:t>
      </w:r>
      <w:r>
        <w:rPr>
          <w:rFonts w:hint="eastAsia" w:ascii="仿宋_GB2312" w:hAnsi="仿宋_GB2312" w:eastAsia="仿宋_GB2312" w:cs="仿宋_GB2312"/>
          <w:bCs/>
          <w:snapToGrid w:val="0"/>
          <w:kern w:val="0"/>
          <w:sz w:val="28"/>
          <w:szCs w:val="28"/>
          <w:highlight w:val="none"/>
          <w:u w:val="single"/>
          <w:lang w:val="en-US" w:eastAsia="zh-CN"/>
        </w:rPr>
        <w:t xml:space="preserve">                                            </w:t>
      </w:r>
    </w:p>
    <w:p w14:paraId="5E3120C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电子邮箱：</w:t>
      </w:r>
      <w:r>
        <w:rPr>
          <w:rFonts w:hint="eastAsia" w:ascii="仿宋_GB2312" w:hAnsi="仿宋_GB2312" w:eastAsia="仿宋_GB2312" w:cs="仿宋_GB2312"/>
          <w:bCs/>
          <w:snapToGrid w:val="0"/>
          <w:kern w:val="0"/>
          <w:sz w:val="28"/>
          <w:szCs w:val="28"/>
          <w:highlight w:val="none"/>
          <w:u w:val="single"/>
          <w:lang w:val="en-US" w:eastAsia="zh-CN"/>
        </w:rPr>
        <w:t xml:space="preserve">                                            </w:t>
      </w:r>
    </w:p>
    <w:p w14:paraId="103D177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(2)发包人的地址：</w:t>
      </w:r>
      <w:r>
        <w:rPr>
          <w:rFonts w:hint="eastAsia" w:ascii="仿宋_GB2312" w:hAnsi="仿宋_GB2312" w:eastAsia="仿宋_GB2312" w:cs="仿宋_GB2312"/>
          <w:bCs/>
          <w:snapToGrid w:val="0"/>
          <w:kern w:val="0"/>
          <w:sz w:val="28"/>
          <w:szCs w:val="28"/>
          <w:highlight w:val="none"/>
          <w:u w:val="single"/>
          <w:lang w:val="en-US" w:eastAsia="zh-CN"/>
        </w:rPr>
        <w:t xml:space="preserve">                                            </w:t>
      </w:r>
      <w:r>
        <w:rPr>
          <w:rFonts w:hint="eastAsia" w:ascii="仿宋_GB2312" w:hAnsi="仿宋_GB2312" w:eastAsia="仿宋_GB2312" w:cs="仿宋_GB2312"/>
          <w:bCs/>
          <w:snapToGrid w:val="0"/>
          <w:kern w:val="0"/>
          <w:sz w:val="28"/>
          <w:szCs w:val="28"/>
          <w:highlight w:val="none"/>
        </w:rPr>
        <w:t xml:space="preserve">                                   </w:t>
      </w:r>
    </w:p>
    <w:p w14:paraId="3CC326C0">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联系人：</w:t>
      </w:r>
      <w:r>
        <w:rPr>
          <w:rFonts w:hint="eastAsia" w:ascii="仿宋_GB2312" w:hAnsi="仿宋_GB2312" w:eastAsia="仿宋_GB2312" w:cs="仿宋_GB2312"/>
          <w:bCs/>
          <w:snapToGrid w:val="0"/>
          <w:kern w:val="0"/>
          <w:sz w:val="28"/>
          <w:szCs w:val="28"/>
          <w:highlight w:val="none"/>
          <w:u w:val="single"/>
          <w:lang w:val="en-US" w:eastAsia="zh-CN"/>
        </w:rPr>
        <w:t xml:space="preserve">                                            </w:t>
      </w:r>
    </w:p>
    <w:p w14:paraId="671B8D6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电子邮箱：</w:t>
      </w:r>
      <w:r>
        <w:rPr>
          <w:rFonts w:hint="eastAsia" w:ascii="仿宋_GB2312" w:hAnsi="仿宋_GB2312" w:eastAsia="仿宋_GB2312" w:cs="仿宋_GB2312"/>
          <w:bCs/>
          <w:snapToGrid w:val="0"/>
          <w:kern w:val="0"/>
          <w:sz w:val="28"/>
          <w:szCs w:val="28"/>
          <w:highlight w:val="none"/>
          <w:u w:val="single"/>
          <w:lang w:val="en-US" w:eastAsia="zh-CN"/>
        </w:rPr>
        <w:t xml:space="preserve">                                            </w:t>
      </w:r>
    </w:p>
    <w:p w14:paraId="657E77A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监理人的地址：</w:t>
      </w:r>
      <w:bookmarkStart w:id="352" w:name="_Toc35656522"/>
      <w:r>
        <w:rPr>
          <w:rFonts w:hint="eastAsia" w:ascii="仿宋_GB2312" w:hAnsi="仿宋_GB2312" w:eastAsia="仿宋_GB2312" w:cs="仿宋_GB2312"/>
          <w:bCs/>
          <w:snapToGrid w:val="0"/>
          <w:kern w:val="0"/>
          <w:sz w:val="28"/>
          <w:szCs w:val="28"/>
          <w:highlight w:val="none"/>
          <w:u w:val="single"/>
          <w:lang w:val="en-US" w:eastAsia="zh-CN"/>
        </w:rPr>
        <w:t xml:space="preserve">                                            </w:t>
      </w:r>
      <w:r>
        <w:rPr>
          <w:rFonts w:hint="eastAsia" w:ascii="仿宋_GB2312" w:hAnsi="仿宋_GB2312" w:eastAsia="仿宋_GB2312" w:cs="仿宋_GB2312"/>
          <w:bCs/>
          <w:snapToGrid w:val="0"/>
          <w:kern w:val="0"/>
          <w:sz w:val="28"/>
          <w:szCs w:val="28"/>
          <w:highlight w:val="none"/>
        </w:rPr>
        <w:t xml:space="preserve">                                   </w:t>
      </w:r>
    </w:p>
    <w:p w14:paraId="1512B7BE">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bookmarkStart w:id="353" w:name="_Toc492905211"/>
      <w:bookmarkStart w:id="354" w:name="_Toc302635949"/>
      <w:r>
        <w:rPr>
          <w:rFonts w:hint="eastAsia" w:ascii="仿宋_GB2312" w:hAnsi="仿宋_GB2312" w:eastAsia="仿宋_GB2312" w:cs="仿宋_GB2312"/>
          <w:bCs/>
          <w:snapToGrid w:val="0"/>
          <w:kern w:val="0"/>
          <w:sz w:val="28"/>
          <w:szCs w:val="28"/>
          <w:highlight w:val="none"/>
        </w:rPr>
        <w:t>联系人：</w:t>
      </w:r>
      <w:r>
        <w:rPr>
          <w:rFonts w:hint="eastAsia" w:ascii="仿宋_GB2312" w:hAnsi="仿宋_GB2312" w:eastAsia="仿宋_GB2312" w:cs="仿宋_GB2312"/>
          <w:bCs/>
          <w:snapToGrid w:val="0"/>
          <w:kern w:val="0"/>
          <w:sz w:val="28"/>
          <w:szCs w:val="28"/>
          <w:highlight w:val="none"/>
          <w:u w:val="single"/>
          <w:lang w:val="en-US" w:eastAsia="zh-CN"/>
        </w:rPr>
        <w:t xml:space="preserve">                                            </w:t>
      </w:r>
    </w:p>
    <w:p w14:paraId="2F7EEE7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电子邮箱：</w:t>
      </w:r>
      <w:r>
        <w:rPr>
          <w:rFonts w:hint="eastAsia" w:ascii="仿宋_GB2312" w:hAnsi="仿宋_GB2312" w:eastAsia="仿宋_GB2312" w:cs="仿宋_GB2312"/>
          <w:bCs/>
          <w:snapToGrid w:val="0"/>
          <w:kern w:val="0"/>
          <w:sz w:val="28"/>
          <w:szCs w:val="28"/>
          <w:highlight w:val="none"/>
          <w:u w:val="single"/>
          <w:lang w:val="en-US" w:eastAsia="zh-CN"/>
        </w:rPr>
        <w:t xml:space="preserve">                                            </w:t>
      </w:r>
    </w:p>
    <w:p w14:paraId="0490C30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rPr>
      </w:pPr>
      <w:bookmarkStart w:id="355" w:name="_Toc23663"/>
      <w:r>
        <w:rPr>
          <w:rFonts w:hint="eastAsia" w:ascii="仿宋_GB2312" w:hAnsi="仿宋_GB2312" w:eastAsia="仿宋_GB2312" w:cs="仿宋_GB2312"/>
          <w:b/>
          <w:sz w:val="28"/>
          <w:szCs w:val="28"/>
          <w:highlight w:val="none"/>
        </w:rPr>
        <w:t>2.13 交通运输</w:t>
      </w:r>
      <w:bookmarkEnd w:id="353"/>
      <w:bookmarkEnd w:id="354"/>
      <w:bookmarkEnd w:id="355"/>
    </w:p>
    <w:p w14:paraId="4FD14DA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（1）出入现场的权利</w:t>
      </w:r>
    </w:p>
    <w:p w14:paraId="6F7E861D">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关于出入现场的权利的约定：</w:t>
      </w:r>
      <w:r>
        <w:rPr>
          <w:rFonts w:hint="eastAsia" w:ascii="仿宋_GB2312" w:hAnsi="仿宋_GB2312" w:eastAsia="仿宋_GB2312" w:cs="仿宋_GB2312"/>
          <w:bCs/>
          <w:snapToGrid w:val="0"/>
          <w:kern w:val="0"/>
          <w:sz w:val="28"/>
          <w:szCs w:val="28"/>
          <w:highlight w:val="none"/>
          <w:u w:val="single"/>
          <w:lang w:val="en-US" w:eastAsia="zh-CN"/>
        </w:rPr>
        <w:t xml:space="preserve">                                        </w:t>
      </w:r>
      <w:r>
        <w:rPr>
          <w:rFonts w:hint="eastAsia" w:ascii="仿宋_GB2312" w:hAnsi="仿宋_GB2312" w:eastAsia="仿宋_GB2312" w:cs="仿宋_GB2312"/>
          <w:bCs/>
          <w:snapToGrid w:val="0"/>
          <w:kern w:val="0"/>
          <w:sz w:val="28"/>
          <w:szCs w:val="28"/>
          <w:highlight w:val="none"/>
        </w:rPr>
        <w:t xml:space="preserve">                              </w:t>
      </w:r>
    </w:p>
    <w:p w14:paraId="1734FD1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（3）场内交通</w:t>
      </w:r>
    </w:p>
    <w:p w14:paraId="66CB2AF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关于场外交通和场内交通的边界的约定：</w:t>
      </w:r>
      <w:r>
        <w:rPr>
          <w:rFonts w:hint="eastAsia" w:ascii="仿宋_GB2312" w:hAnsi="仿宋_GB2312" w:eastAsia="仿宋_GB2312" w:cs="仿宋_GB2312"/>
          <w:bCs/>
          <w:snapToGrid w:val="0"/>
          <w:kern w:val="0"/>
          <w:sz w:val="28"/>
          <w:szCs w:val="28"/>
          <w:highlight w:val="none"/>
          <w:u w:val="single"/>
          <w:lang w:val="en-US" w:eastAsia="zh-CN"/>
        </w:rPr>
        <w:t xml:space="preserve"> </w:t>
      </w:r>
      <w:r>
        <w:rPr>
          <w:rFonts w:hint="default" w:ascii="仿宋_GB2312" w:hAnsi="仿宋_GB2312" w:eastAsia="仿宋_GB2312" w:cs="仿宋_GB2312"/>
          <w:bCs/>
          <w:snapToGrid w:val="0"/>
          <w:kern w:val="0"/>
          <w:sz w:val="28"/>
          <w:szCs w:val="28"/>
          <w:highlight w:val="none"/>
          <w:u w:val="single"/>
          <w:lang w:val="en-US" w:eastAsia="zh-CN"/>
        </w:rPr>
        <w:t xml:space="preserve">                      </w:t>
      </w:r>
      <w:r>
        <w:rPr>
          <w:rFonts w:hint="eastAsia" w:ascii="仿宋_GB2312" w:hAnsi="仿宋_GB2312" w:eastAsia="仿宋_GB2312" w:cs="仿宋_GB2312"/>
          <w:bCs/>
          <w:snapToGrid w:val="0"/>
          <w:kern w:val="0"/>
          <w:sz w:val="28"/>
          <w:szCs w:val="28"/>
          <w:highlight w:val="none"/>
        </w:rPr>
        <w:t xml:space="preserve">                                                                                 </w:t>
      </w:r>
    </w:p>
    <w:p w14:paraId="6B4FAF3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关于发包人向承包人免费提供满足工程施工需要的场内道路和交通设施的约定：</w:t>
      </w:r>
      <w:r>
        <w:rPr>
          <w:rFonts w:hint="eastAsia" w:ascii="仿宋_GB2312" w:hAnsi="仿宋_GB2312" w:eastAsia="仿宋_GB2312" w:cs="仿宋_GB2312"/>
          <w:bCs/>
          <w:snapToGrid w:val="0"/>
          <w:kern w:val="0"/>
          <w:sz w:val="28"/>
          <w:szCs w:val="28"/>
          <w:highlight w:val="none"/>
          <w:u w:val="single"/>
          <w:lang w:val="en-US" w:eastAsia="zh-CN"/>
        </w:rPr>
        <w:t xml:space="preserve">                                            </w:t>
      </w:r>
      <w:r>
        <w:rPr>
          <w:rFonts w:hint="eastAsia" w:ascii="仿宋_GB2312" w:hAnsi="仿宋_GB2312" w:eastAsia="仿宋_GB2312" w:cs="仿宋_GB2312"/>
          <w:bCs/>
          <w:snapToGrid w:val="0"/>
          <w:kern w:val="0"/>
          <w:sz w:val="28"/>
          <w:szCs w:val="28"/>
          <w:highlight w:val="none"/>
        </w:rPr>
        <w:t xml:space="preserve">                                                                 </w:t>
      </w:r>
    </w:p>
    <w:p w14:paraId="35C71D1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（4）超大件和超重件的运输</w:t>
      </w:r>
    </w:p>
    <w:p w14:paraId="7970FAEF">
      <w:pPr>
        <w:pageBreakBefore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运输超大件或超重件所需道路和桥梁临时加固费用和其他费用由</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承担。</w:t>
      </w:r>
    </w:p>
    <w:p w14:paraId="2C3106E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56" w:name="_Toc27704"/>
      <w:bookmarkStart w:id="357" w:name="_Toc492905212"/>
      <w:bookmarkStart w:id="358" w:name="_Toc302635950"/>
      <w:r>
        <w:rPr>
          <w:rFonts w:hint="eastAsia" w:ascii="仿宋_GB2312" w:hAnsi="仿宋_GB2312" w:eastAsia="仿宋_GB2312" w:cs="仿宋_GB2312"/>
          <w:b/>
          <w:sz w:val="28"/>
          <w:szCs w:val="28"/>
          <w:highlight w:val="none"/>
          <w:lang w:val="en-US" w:eastAsia="zh-CN"/>
        </w:rPr>
        <w:t>2.15 BIM实施应用</w:t>
      </w:r>
      <w:bookmarkEnd w:id="356"/>
    </w:p>
    <w:p w14:paraId="01C2ED09">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⑴BIM实施范围</w:t>
      </w:r>
    </w:p>
    <w:p w14:paraId="2FE6F951">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关于BIM实施内容的约定：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14:paraId="5320712B">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⑵BIM实施内容和要求</w:t>
      </w:r>
    </w:p>
    <w:p w14:paraId="414EB1F5">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关于深化设计、施工过程和竣工验收阶段BIM技术和管理应用要求的约定：</w:t>
      </w:r>
      <w:r>
        <w:rPr>
          <w:rFonts w:hint="eastAsia" w:ascii="仿宋" w:hAnsi="仿宋" w:eastAsia="仿宋" w:cs="仿宋"/>
          <w:sz w:val="28"/>
          <w:szCs w:val="28"/>
          <w:highlight w:val="none"/>
          <w:u w:val="single"/>
          <w:lang w:val="en-US" w:eastAsia="zh-CN"/>
        </w:rPr>
        <w:t xml:space="preserve">                                                         </w:t>
      </w:r>
    </w:p>
    <w:p w14:paraId="34E5F256">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BIM模型精细度的标准要求：</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     </w:t>
      </w:r>
    </w:p>
    <w:p w14:paraId="70246A8A">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⑶BIM成果的归档和移交</w:t>
      </w:r>
    </w:p>
    <w:p w14:paraId="0B7B6578">
      <w:pPr>
        <w:pageBreakBefore w:val="0"/>
        <w:kinsoku/>
        <w:wordWrap w:val="0"/>
        <w:overflowPunct/>
        <w:topLinePunct w:val="0"/>
        <w:autoSpaceDE/>
        <w:autoSpaceDN/>
        <w:bidi w:val="0"/>
        <w:adjustRightInd w:val="0"/>
        <w:snapToGrid w:val="0"/>
        <w:spacing w:line="560" w:lineRule="exact"/>
        <w:ind w:left="0" w:leftChars="0" w:right="0" w:rightChars="0" w:firstLine="482"/>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u w:val="none"/>
        </w:rPr>
        <w:t>关于BIM成果交付标准的约定：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14:paraId="1DBB2EC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59" w:name="_Toc8595"/>
      <w:r>
        <w:rPr>
          <w:rFonts w:hint="eastAsia" w:ascii="仿宋_GB2312" w:hAnsi="仿宋_GB2312" w:eastAsia="仿宋_GB2312" w:cs="仿宋_GB2312"/>
          <w:b/>
          <w:sz w:val="28"/>
          <w:szCs w:val="28"/>
          <w:highlight w:val="none"/>
          <w:lang w:val="en-US" w:eastAsia="zh-CN"/>
        </w:rPr>
        <w:t>2.16 知识产权</w:t>
      </w:r>
      <w:bookmarkEnd w:id="357"/>
      <w:bookmarkEnd w:id="358"/>
      <w:bookmarkEnd w:id="359"/>
    </w:p>
    <w:p w14:paraId="55BD750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p>
    <w:p w14:paraId="13FD4565">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关于发包人提供的上述文件的使用限制的要求：</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7ED81B4D">
      <w:pPr>
        <w:pageBreakBefore w:val="0"/>
        <w:numPr>
          <w:ilvl w:val="0"/>
          <w:numId w:val="7"/>
        </w:numPr>
        <w:kinsoku/>
        <w:overflowPunct/>
        <w:topLinePunct w:val="0"/>
        <w:autoSpaceDE/>
        <w:autoSpaceDN/>
        <w:bidi w:val="0"/>
        <w:adjustRightInd w:val="0"/>
        <w:snapToGrid w:val="0"/>
        <w:spacing w:line="560" w:lineRule="exact"/>
        <w:ind w:left="0" w:leftChars="0" w:right="0" w:rightChars="0" w:firstLine="480"/>
        <w:jc w:val="left"/>
        <w:textAlignment w:val="auto"/>
        <w:rPr>
          <w:rFonts w:hint="default" w:ascii="仿宋_GB2312" w:hAnsi="仿宋_GB2312" w:eastAsia="仿宋_GB2312" w:cs="仿宋_GB2312"/>
          <w:bCs/>
          <w:snapToGrid w:val="0"/>
          <w:kern w:val="0"/>
          <w:sz w:val="28"/>
          <w:szCs w:val="28"/>
          <w:highlight w:val="none"/>
          <w:u w:val="single"/>
          <w:lang w:val="en-US"/>
        </w:rPr>
      </w:pPr>
      <w:r>
        <w:rPr>
          <w:rFonts w:hint="eastAsia" w:ascii="仿宋_GB2312" w:hAnsi="仿宋_GB2312" w:eastAsia="仿宋_GB2312" w:cs="仿宋_GB2312"/>
          <w:bCs/>
          <w:snapToGrid w:val="0"/>
          <w:kern w:val="0"/>
          <w:sz w:val="28"/>
          <w:szCs w:val="28"/>
          <w:highlight w:val="none"/>
        </w:rPr>
        <w:t>关于承包人为实施工程所编制文件的著作权的归属：</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p>
    <w:p w14:paraId="402C2259">
      <w:pPr>
        <w:pageBreakBefore w:val="0"/>
        <w:numPr>
          <w:ilvl w:val="0"/>
          <w:numId w:val="0"/>
        </w:numPr>
        <w:kinsoku/>
        <w:overflowPunct/>
        <w:topLinePunct w:val="0"/>
        <w:autoSpaceDE/>
        <w:autoSpaceDN/>
        <w:bidi w:val="0"/>
        <w:adjustRightInd w:val="0"/>
        <w:snapToGrid w:val="0"/>
        <w:spacing w:line="560" w:lineRule="exact"/>
        <w:ind w:left="0" w:leftChars="0" w:right="0" w:rightChars="0"/>
        <w:jc w:val="left"/>
        <w:textAlignment w:val="auto"/>
        <w:rPr>
          <w:rFonts w:hint="default" w:ascii="仿宋_GB2312" w:hAnsi="仿宋_GB2312" w:eastAsia="仿宋_GB2312" w:cs="仿宋_GB2312"/>
          <w:bCs/>
          <w:snapToGrid w:val="0"/>
          <w:kern w:val="0"/>
          <w:sz w:val="28"/>
          <w:szCs w:val="28"/>
          <w:highlight w:val="none"/>
          <w:u w:val="single"/>
          <w:lang w:val="en-US"/>
        </w:rPr>
      </w:pP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p>
    <w:p w14:paraId="1D5C4289">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default" w:ascii="仿宋_GB2312" w:hAnsi="仿宋_GB2312" w:eastAsia="仿宋_GB2312" w:cs="仿宋_GB2312"/>
          <w:bCs/>
          <w:snapToGrid w:val="0"/>
          <w:kern w:val="0"/>
          <w:sz w:val="28"/>
          <w:szCs w:val="28"/>
          <w:highlight w:val="none"/>
          <w:u w:val="single"/>
          <w:lang w:val="en-US"/>
        </w:rPr>
      </w:pPr>
      <w:r>
        <w:rPr>
          <w:rFonts w:hint="eastAsia" w:ascii="仿宋_GB2312" w:hAnsi="仿宋_GB2312" w:eastAsia="仿宋_GB2312" w:cs="仿宋_GB2312"/>
          <w:bCs/>
          <w:snapToGrid w:val="0"/>
          <w:kern w:val="0"/>
          <w:sz w:val="28"/>
          <w:szCs w:val="28"/>
          <w:highlight w:val="none"/>
        </w:rPr>
        <w:t>关于承包人提供的上述文件的使用限制的要求：</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p>
    <w:p w14:paraId="0EEA15B5">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default" w:ascii="仿宋_GB2312" w:hAnsi="仿宋_GB2312" w:eastAsia="仿宋_GB2312" w:cs="仿宋_GB2312"/>
          <w:bCs/>
          <w:snapToGrid w:val="0"/>
          <w:kern w:val="0"/>
          <w:sz w:val="28"/>
          <w:szCs w:val="28"/>
          <w:highlight w:val="none"/>
          <w:lang w:val="en-US"/>
        </w:rPr>
      </w:pPr>
      <w:r>
        <w:rPr>
          <w:rFonts w:hint="eastAsia" w:ascii="仿宋_GB2312" w:hAnsi="仿宋_GB2312" w:eastAsia="仿宋_GB2312" w:cs="仿宋_GB2312"/>
          <w:bCs/>
          <w:snapToGrid w:val="0"/>
          <w:kern w:val="0"/>
          <w:sz w:val="28"/>
          <w:szCs w:val="28"/>
          <w:highlight w:val="none"/>
        </w:rPr>
        <w:t>（4）承包人在施工过程中所采用的专利、专有技术、技术秘密的使用费的承担方式：</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p>
    <w:bookmarkEnd w:id="352"/>
    <w:p w14:paraId="0465AD2A">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360" w:name="_Toc302635952"/>
      <w:bookmarkStart w:id="361" w:name="_Toc492905213"/>
      <w:bookmarkStart w:id="362" w:name="_Toc3731"/>
      <w:bookmarkStart w:id="363" w:name="_Toc305331438"/>
      <w:bookmarkStart w:id="364" w:name="_Toc35656523"/>
      <w:r>
        <w:rPr>
          <w:rFonts w:hint="eastAsia" w:ascii="仿宋_GB2312" w:hAnsi="仿宋_GB2312" w:eastAsia="仿宋_GB2312" w:cs="仿宋_GB2312"/>
          <w:b/>
          <w:bCs w:val="0"/>
          <w:snapToGrid w:val="0"/>
          <w:kern w:val="0"/>
          <w:sz w:val="28"/>
          <w:szCs w:val="28"/>
          <w:highlight w:val="none"/>
        </w:rPr>
        <w:t>3 发包人</w:t>
      </w:r>
      <w:bookmarkEnd w:id="360"/>
      <w:bookmarkEnd w:id="361"/>
      <w:bookmarkEnd w:id="362"/>
      <w:bookmarkEnd w:id="363"/>
      <w:bookmarkEnd w:id="364"/>
    </w:p>
    <w:p w14:paraId="38EEDE3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65" w:name="_Toc305331439"/>
      <w:bookmarkStart w:id="366" w:name="_Toc302635953"/>
      <w:bookmarkStart w:id="367" w:name="_Toc492905214"/>
      <w:bookmarkStart w:id="368" w:name="_Toc11984"/>
      <w:r>
        <w:rPr>
          <w:rFonts w:hint="eastAsia" w:ascii="仿宋_GB2312" w:hAnsi="仿宋_GB2312" w:eastAsia="仿宋_GB2312" w:cs="仿宋_GB2312"/>
          <w:b/>
          <w:sz w:val="28"/>
          <w:szCs w:val="28"/>
          <w:highlight w:val="none"/>
          <w:lang w:val="en-US" w:eastAsia="zh-CN"/>
        </w:rPr>
        <w:t>3.1 发包人代表</w:t>
      </w:r>
      <w:bookmarkEnd w:id="365"/>
      <w:bookmarkEnd w:id="366"/>
      <w:bookmarkEnd w:id="367"/>
      <w:bookmarkEnd w:id="368"/>
    </w:p>
    <w:p w14:paraId="510B120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发包人代表的姓名：</w:t>
      </w:r>
      <w:r>
        <w:rPr>
          <w:rFonts w:hint="eastAsia" w:ascii="仿宋_GB2312" w:hAnsi="仿宋_GB2312" w:eastAsia="仿宋_GB2312" w:cs="仿宋_GB2312"/>
          <w:bCs/>
          <w:snapToGrid w:val="0"/>
          <w:kern w:val="0"/>
          <w:sz w:val="28"/>
          <w:szCs w:val="28"/>
          <w:highlight w:val="none"/>
          <w:u w:val="single"/>
        </w:rPr>
        <w:t xml:space="preserve">               </w:t>
      </w:r>
    </w:p>
    <w:p w14:paraId="39C6AA6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69" w:name="_Toc492905215"/>
      <w:bookmarkStart w:id="370" w:name="_Toc305331440"/>
      <w:bookmarkStart w:id="371" w:name="_Toc302635954"/>
      <w:bookmarkStart w:id="372" w:name="_Toc11535"/>
      <w:r>
        <w:rPr>
          <w:rFonts w:hint="eastAsia" w:ascii="仿宋_GB2312" w:hAnsi="仿宋_GB2312" w:eastAsia="仿宋_GB2312" w:cs="仿宋_GB2312"/>
          <w:b/>
          <w:sz w:val="28"/>
          <w:szCs w:val="28"/>
          <w:highlight w:val="none"/>
          <w:lang w:val="en-US" w:eastAsia="zh-CN"/>
        </w:rPr>
        <w:t>3.4 发包人的工作</w:t>
      </w:r>
      <w:bookmarkEnd w:id="369"/>
      <w:bookmarkEnd w:id="370"/>
      <w:bookmarkEnd w:id="371"/>
      <w:bookmarkEnd w:id="372"/>
    </w:p>
    <w:p w14:paraId="4E9D6DF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(1)发包人完成工作的要求：</w:t>
      </w:r>
    </w:p>
    <w:p w14:paraId="33466EB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default" w:ascii="仿宋_GB2312" w:hAnsi="仿宋_GB2312" w:eastAsia="仿宋_GB2312" w:cs="仿宋_GB2312"/>
          <w:bCs/>
          <w:snapToGrid w:val="0"/>
          <w:kern w:val="0"/>
          <w:sz w:val="28"/>
          <w:szCs w:val="28"/>
          <w:highlight w:val="none"/>
          <w:u w:val="single"/>
          <w:lang w:val="en-US"/>
        </w:rPr>
      </w:pPr>
      <w:r>
        <w:rPr>
          <w:rFonts w:hint="eastAsia" w:ascii="仿宋_GB2312" w:hAnsi="仿宋_GB2312" w:eastAsia="仿宋_GB2312" w:cs="仿宋_GB2312"/>
          <w:bCs/>
          <w:snapToGrid w:val="0"/>
          <w:kern w:val="0"/>
          <w:sz w:val="28"/>
          <w:szCs w:val="28"/>
          <w:highlight w:val="none"/>
        </w:rPr>
        <w:t>②施工场地内施工所需用水、用电、通讯的接驳地点：</w:t>
      </w:r>
      <w:r>
        <w:rPr>
          <w:rFonts w:hint="default" w:ascii="仿宋_GB2312" w:hAnsi="仿宋_GB2312" w:eastAsia="仿宋_GB2312" w:cs="仿宋_GB2312"/>
          <w:bCs/>
          <w:snapToGrid w:val="0"/>
          <w:kern w:val="0"/>
          <w:sz w:val="28"/>
          <w:szCs w:val="28"/>
          <w:highlight w:val="none"/>
          <w:u w:val="single"/>
          <w:lang w:val="en-US"/>
        </w:rPr>
        <w:t xml:space="preserve">           </w:t>
      </w:r>
    </w:p>
    <w:p w14:paraId="307A49C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single"/>
        </w:rPr>
      </w:pPr>
      <w:r>
        <w:rPr>
          <w:rFonts w:hint="default" w:ascii="仿宋_GB2312" w:hAnsi="仿宋_GB2312" w:eastAsia="仿宋_GB2312" w:cs="仿宋_GB2312"/>
          <w:bCs/>
          <w:snapToGrid w:val="0"/>
          <w:kern w:val="0"/>
          <w:sz w:val="28"/>
          <w:szCs w:val="28"/>
          <w:highlight w:val="none"/>
          <w:u w:val="single"/>
          <w:lang w:val="en-US"/>
        </w:rPr>
        <w:t xml:space="preserve">                                                         </w:t>
      </w:r>
    </w:p>
    <w:p w14:paraId="40537255">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⑦发包人组织图纸会审和设计交底的时间：</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p>
    <w:p w14:paraId="5458A5F0">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⑨发包人应做的其他工作和要求：</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r>
        <w:rPr>
          <w:rFonts w:hint="default" w:ascii="仿宋_GB2312" w:hAnsi="仿宋_GB2312" w:eastAsia="仿宋_GB2312" w:cs="仿宋_GB2312"/>
          <w:bCs/>
          <w:snapToGrid w:val="0"/>
          <w:kern w:val="0"/>
          <w:sz w:val="28"/>
          <w:szCs w:val="28"/>
          <w:highlight w:val="none"/>
          <w:u w:val="single"/>
          <w:lang w:val="en-US"/>
        </w:rPr>
        <w:t xml:space="preserve">                  </w:t>
      </w:r>
    </w:p>
    <w:p w14:paraId="31A7788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73" w:name="_Toc305331441"/>
      <w:bookmarkStart w:id="374" w:name="_Toc5978"/>
      <w:bookmarkStart w:id="375" w:name="_Toc492905216"/>
      <w:bookmarkStart w:id="376" w:name="_Toc302635955"/>
      <w:r>
        <w:rPr>
          <w:rFonts w:hint="eastAsia" w:ascii="仿宋_GB2312" w:hAnsi="仿宋_GB2312" w:eastAsia="仿宋_GB2312" w:cs="仿宋_GB2312"/>
          <w:b/>
          <w:sz w:val="28"/>
          <w:szCs w:val="28"/>
          <w:highlight w:val="none"/>
          <w:lang w:val="en-US" w:eastAsia="zh-CN"/>
        </w:rPr>
        <w:t>3.5 发包人委托</w:t>
      </w:r>
      <w:bookmarkEnd w:id="373"/>
      <w:bookmarkEnd w:id="374"/>
      <w:bookmarkEnd w:id="375"/>
      <w:bookmarkEnd w:id="376"/>
    </w:p>
    <w:p w14:paraId="40A935E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发包人委托承包人办理的工作：</w:t>
      </w:r>
      <w:bookmarkStart w:id="377" w:name="_Toc35656524"/>
      <w:r>
        <w:rPr>
          <w:rFonts w:hint="default" w:ascii="仿宋_GB2312" w:hAnsi="仿宋_GB2312" w:eastAsia="仿宋_GB2312" w:cs="仿宋_GB2312"/>
          <w:bCs/>
          <w:snapToGrid w:val="0"/>
          <w:kern w:val="0"/>
          <w:sz w:val="28"/>
          <w:szCs w:val="28"/>
          <w:highlight w:val="none"/>
          <w:u w:val="single"/>
          <w:lang w:val="en-US"/>
        </w:rPr>
        <w:t xml:space="preserve">                             </w:t>
      </w:r>
    </w:p>
    <w:p w14:paraId="5FFA86E5">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378" w:name="_Toc305331442"/>
      <w:bookmarkStart w:id="379" w:name="_Toc302635956"/>
      <w:bookmarkStart w:id="380" w:name="_Toc492905217"/>
      <w:bookmarkStart w:id="381" w:name="_Toc25487"/>
      <w:r>
        <w:rPr>
          <w:rFonts w:hint="eastAsia" w:ascii="仿宋_GB2312" w:hAnsi="仿宋_GB2312" w:eastAsia="仿宋_GB2312" w:cs="仿宋_GB2312"/>
          <w:b/>
          <w:bCs w:val="0"/>
          <w:snapToGrid w:val="0"/>
          <w:kern w:val="0"/>
          <w:sz w:val="28"/>
          <w:szCs w:val="28"/>
          <w:highlight w:val="none"/>
        </w:rPr>
        <w:t>4 承包人</w:t>
      </w:r>
      <w:bookmarkEnd w:id="377"/>
      <w:bookmarkEnd w:id="378"/>
      <w:bookmarkEnd w:id="379"/>
      <w:bookmarkEnd w:id="380"/>
      <w:bookmarkEnd w:id="381"/>
    </w:p>
    <w:p w14:paraId="40470B5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82" w:name="_Toc492905218"/>
      <w:bookmarkStart w:id="383" w:name="_Toc28450"/>
      <w:bookmarkStart w:id="384" w:name="_Toc305331443"/>
      <w:bookmarkStart w:id="385" w:name="_Toc302635957"/>
      <w:r>
        <w:rPr>
          <w:rFonts w:hint="eastAsia" w:ascii="仿宋_GB2312" w:hAnsi="仿宋_GB2312" w:eastAsia="仿宋_GB2312" w:cs="仿宋_GB2312"/>
          <w:b/>
          <w:sz w:val="28"/>
          <w:szCs w:val="28"/>
          <w:highlight w:val="none"/>
          <w:lang w:val="en-US" w:eastAsia="zh-CN"/>
        </w:rPr>
        <w:t>4.2 承包人的工作</w:t>
      </w:r>
      <w:bookmarkEnd w:id="382"/>
      <w:bookmarkEnd w:id="383"/>
      <w:bookmarkEnd w:id="384"/>
      <w:bookmarkEnd w:id="385"/>
    </w:p>
    <w:p w14:paraId="1571862D">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(1)承包人完成工作的要求：</w:t>
      </w:r>
    </w:p>
    <w:p w14:paraId="52354F6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single"/>
        </w:rPr>
      </w:pPr>
      <w:bookmarkStart w:id="386" w:name="_Toc35656527"/>
      <w:bookmarkStart w:id="387" w:name="_Toc35656525"/>
      <w:r>
        <w:rPr>
          <w:rFonts w:hint="eastAsia" w:ascii="仿宋_GB2312" w:hAnsi="仿宋_GB2312" w:eastAsia="仿宋_GB2312" w:cs="仿宋_GB2312"/>
          <w:bCs/>
          <w:snapToGrid w:val="0"/>
          <w:kern w:val="0"/>
          <w:sz w:val="28"/>
          <w:szCs w:val="28"/>
          <w:highlight w:val="none"/>
        </w:rPr>
        <w:t>③承包人向发包人提供施工场地办公和生活的房屋及设施，费用承担方式为：</w:t>
      </w:r>
      <w:r>
        <w:rPr>
          <w:rFonts w:hint="default" w:ascii="仿宋_GB2312" w:hAnsi="仿宋_GB2312" w:eastAsia="仿宋_GB2312" w:cs="仿宋_GB2312"/>
          <w:bCs/>
          <w:snapToGrid w:val="0"/>
          <w:kern w:val="0"/>
          <w:sz w:val="28"/>
          <w:szCs w:val="28"/>
          <w:highlight w:val="none"/>
          <w:u w:val="single"/>
          <w:lang w:val="en-US"/>
        </w:rPr>
        <w:t xml:space="preserve">                                               </w:t>
      </w:r>
    </w:p>
    <w:p w14:paraId="3B7C1E1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⑧承包人应在</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前向发包人提交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套竣工资料。</w:t>
      </w:r>
    </w:p>
    <w:p w14:paraId="6A1FBEEE">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u w:val="single"/>
        </w:rPr>
      </w:pPr>
      <w:r>
        <w:rPr>
          <w:rFonts w:hint="eastAsia" w:ascii="仿宋_GB2312" w:hAnsi="仿宋_GB2312" w:eastAsia="仿宋_GB2312" w:cs="仿宋_GB2312"/>
          <w:bCs/>
          <w:snapToGrid w:val="0"/>
          <w:kern w:val="0"/>
          <w:sz w:val="28"/>
          <w:szCs w:val="28"/>
          <w:highlight w:val="none"/>
        </w:rPr>
        <w:t>⑨约定承包人应做的其他工作：</w:t>
      </w:r>
      <w:r>
        <w:rPr>
          <w:rFonts w:hint="eastAsia" w:ascii="仿宋_GB2312" w:hAnsi="仿宋_GB2312" w:eastAsia="仿宋_GB2312" w:cs="仿宋_GB2312"/>
          <w:bCs/>
          <w:snapToGrid w:val="0"/>
          <w:kern w:val="0"/>
          <w:sz w:val="28"/>
          <w:szCs w:val="28"/>
          <w:u w:val="single"/>
        </w:rPr>
        <w:t xml:space="preserve">                                 </w:t>
      </w:r>
    </w:p>
    <w:p w14:paraId="0E1A1D7D">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u w:val="single"/>
        </w:rPr>
        <w:t xml:space="preserve">                                                            </w:t>
      </w:r>
    </w:p>
    <w:p w14:paraId="509E492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88" w:name="_Toc1931"/>
      <w:bookmarkStart w:id="389" w:name="_Toc305331444"/>
      <w:bookmarkStart w:id="390" w:name="_Toc492905219"/>
      <w:bookmarkStart w:id="391" w:name="_Toc302635958"/>
      <w:r>
        <w:rPr>
          <w:rFonts w:hint="eastAsia" w:ascii="仿宋_GB2312" w:hAnsi="仿宋_GB2312" w:eastAsia="仿宋_GB2312" w:cs="仿宋_GB2312"/>
          <w:b/>
          <w:sz w:val="28"/>
          <w:szCs w:val="28"/>
          <w:highlight w:val="none"/>
          <w:lang w:val="en-US" w:eastAsia="zh-CN"/>
        </w:rPr>
        <w:t>4.3</w:t>
      </w:r>
      <w:bookmarkEnd w:id="386"/>
      <w:r>
        <w:rPr>
          <w:rFonts w:hint="eastAsia" w:ascii="仿宋_GB2312" w:hAnsi="仿宋_GB2312" w:eastAsia="仿宋_GB2312" w:cs="仿宋_GB2312"/>
          <w:b/>
          <w:sz w:val="28"/>
          <w:szCs w:val="28"/>
          <w:highlight w:val="none"/>
          <w:lang w:val="en-US" w:eastAsia="zh-CN"/>
        </w:rPr>
        <w:t>项目经理的任命</w:t>
      </w:r>
      <w:bookmarkEnd w:id="388"/>
      <w:bookmarkEnd w:id="389"/>
      <w:bookmarkEnd w:id="390"/>
      <w:bookmarkEnd w:id="391"/>
    </w:p>
    <w:p w14:paraId="6860DD55">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bookmarkStart w:id="392" w:name="_Hlk4713136"/>
      <w:r>
        <w:rPr>
          <w:rFonts w:hint="eastAsia" w:ascii="仿宋_GB2312" w:hAnsi="仿宋_GB2312" w:eastAsia="仿宋_GB2312" w:cs="仿宋_GB2312"/>
          <w:bCs/>
          <w:snapToGrid w:val="0"/>
          <w:kern w:val="0"/>
          <w:sz w:val="28"/>
          <w:szCs w:val="28"/>
          <w:highlight w:val="none"/>
        </w:rPr>
        <w:t>(2)承包人任命的项目经理姓名：</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D51DADC">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身份证号：</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B85C7C4">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建造师执业资格等级：</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063ACDFE">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建造师注册证书号：</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927AF6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建造师执业印章号：</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108E6DC">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安全生产考核合格证书号： </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5BBD42E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联系电话：</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3C3D904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电子信箱：</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3E88B1B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通信地址：</w:t>
      </w:r>
      <w:r>
        <w:rPr>
          <w:rFonts w:hint="eastAsia" w:ascii="仿宋_GB2312" w:hAnsi="仿宋_GB2312" w:eastAsia="仿宋_GB2312" w:cs="仿宋_GB2312"/>
          <w:bCs/>
          <w:snapToGrid w:val="0"/>
          <w:kern w:val="0"/>
          <w:sz w:val="28"/>
          <w:szCs w:val="28"/>
          <w:highlight w:val="none"/>
          <w:u w:val="single"/>
        </w:rPr>
        <w:t xml:space="preserve"> </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48EEE7F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承包人对项目经理的授权范围如下：</w:t>
      </w:r>
      <w:r>
        <w:rPr>
          <w:rFonts w:hint="eastAsia" w:ascii="仿宋_GB2312" w:hAnsi="仿宋_GB2312" w:eastAsia="仿宋_GB2312" w:cs="仿宋_GB2312"/>
          <w:bCs/>
          <w:snapToGrid w:val="0"/>
          <w:kern w:val="0"/>
          <w:sz w:val="28"/>
          <w:szCs w:val="28"/>
          <w:highlight w:val="none"/>
          <w:u w:val="single"/>
        </w:rPr>
        <w:t xml:space="preserve"> </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u w:val="single"/>
        </w:rPr>
        <w:t xml:space="preserve">。 </w:t>
      </w:r>
    </w:p>
    <w:p w14:paraId="359B6A1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w:t>
      </w:r>
      <w:r>
        <w:rPr>
          <w:rFonts w:ascii="仿宋_GB2312" w:hAnsi="仿宋_GB2312" w:eastAsia="仿宋_GB2312" w:cs="仿宋_GB2312"/>
          <w:bCs/>
          <w:snapToGrid w:val="0"/>
          <w:kern w:val="0"/>
          <w:sz w:val="28"/>
          <w:szCs w:val="28"/>
          <w:highlight w:val="none"/>
        </w:rPr>
        <w:t>3</w:t>
      </w:r>
      <w:r>
        <w:rPr>
          <w:rFonts w:hint="eastAsia" w:ascii="仿宋_GB2312" w:hAnsi="仿宋_GB2312" w:eastAsia="仿宋_GB2312" w:cs="仿宋_GB2312"/>
          <w:bCs/>
          <w:snapToGrid w:val="0"/>
          <w:kern w:val="0"/>
          <w:sz w:val="28"/>
          <w:szCs w:val="28"/>
          <w:highlight w:val="none"/>
        </w:rPr>
        <w:t>)关于项目经理每月在施工现场的时间要求：</w:t>
      </w:r>
      <w:r>
        <w:rPr>
          <w:rFonts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u w:val="single"/>
        </w:rPr>
        <w:t>。</w:t>
      </w:r>
    </w:p>
    <w:bookmarkEnd w:id="392"/>
    <w:p w14:paraId="6460437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w:t>
      </w:r>
      <w:r>
        <w:rPr>
          <w:rFonts w:ascii="仿宋_GB2312" w:hAnsi="仿宋_GB2312" w:eastAsia="仿宋_GB2312" w:cs="仿宋_GB2312"/>
          <w:bCs/>
          <w:snapToGrid w:val="0"/>
          <w:kern w:val="0"/>
          <w:sz w:val="28"/>
          <w:szCs w:val="28"/>
          <w:highlight w:val="none"/>
        </w:rPr>
        <w:t>4</w:t>
      </w:r>
      <w:r>
        <w:rPr>
          <w:rFonts w:hint="eastAsia" w:ascii="仿宋_GB2312" w:hAnsi="仿宋_GB2312" w:eastAsia="仿宋_GB2312" w:cs="仿宋_GB2312"/>
          <w:bCs/>
          <w:snapToGrid w:val="0"/>
          <w:kern w:val="0"/>
          <w:sz w:val="28"/>
          <w:szCs w:val="28"/>
          <w:highlight w:val="none"/>
        </w:rPr>
        <w:t>)承包人的项目经理与投标文件的承诺不一致，或项目经理未及时到位，或同时兼任承包人其它工程项目的项目经理的，承包人应向发包人支付违约金每次</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AEB68A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93" w:name="_Toc492905220"/>
      <w:bookmarkStart w:id="394" w:name="_Toc302635959"/>
      <w:bookmarkStart w:id="395" w:name="_Toc305331445"/>
      <w:bookmarkStart w:id="396" w:name="_Toc10712"/>
      <w:r>
        <w:rPr>
          <w:rFonts w:hint="eastAsia" w:ascii="仿宋_GB2312" w:hAnsi="仿宋_GB2312" w:eastAsia="仿宋_GB2312" w:cs="仿宋_GB2312"/>
          <w:b/>
          <w:sz w:val="28"/>
          <w:szCs w:val="28"/>
          <w:highlight w:val="none"/>
          <w:lang w:val="en-US" w:eastAsia="zh-CN"/>
        </w:rPr>
        <w:t>4.4 项目经理的更换</w:t>
      </w:r>
      <w:bookmarkEnd w:id="393"/>
      <w:bookmarkEnd w:id="394"/>
      <w:bookmarkEnd w:id="395"/>
      <w:bookmarkEnd w:id="396"/>
    </w:p>
    <w:p w14:paraId="1030B760">
      <w:pPr>
        <w:pageBreakBefore w:val="0"/>
        <w:kinsoku/>
        <w:overflowPunct/>
        <w:topLinePunct w:val="0"/>
        <w:autoSpaceDE/>
        <w:autoSpaceDN/>
        <w:bidi w:val="0"/>
        <w:adjustRightInd w:val="0"/>
        <w:snapToGrid w:val="0"/>
        <w:spacing w:line="560" w:lineRule="exact"/>
        <w:ind w:left="0" w:leftChars="0" w:right="0" w:rightChars="0" w:firstLine="480"/>
        <w:textAlignment w:val="auto"/>
      </w:pPr>
      <w:r>
        <w:rPr>
          <w:rFonts w:hint="eastAsia" w:ascii="仿宋_GB2312" w:hAnsi="仿宋_GB2312" w:eastAsia="仿宋_GB2312" w:cs="仿宋_GB2312"/>
          <w:bCs/>
          <w:snapToGrid w:val="0"/>
          <w:kern w:val="0"/>
          <w:sz w:val="28"/>
          <w:szCs w:val="28"/>
          <w:highlight w:val="none"/>
        </w:rPr>
        <w:t>(2)承包人未经监理工程师及发包人同意更换项目经理的，承包人应向发包人支付违约金</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rPr>
        <w:t>元／次。</w:t>
      </w:r>
    </w:p>
    <w:p w14:paraId="41B971C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u w:val="single"/>
        </w:rPr>
      </w:pPr>
      <w:r>
        <w:rPr>
          <w:rFonts w:hint="eastAsia" w:ascii="仿宋_GB2312" w:hAnsi="仿宋_GB2312" w:eastAsia="仿宋_GB2312" w:cs="仿宋_GB2312"/>
          <w:bCs/>
          <w:snapToGrid w:val="0"/>
          <w:kern w:val="0"/>
          <w:sz w:val="28"/>
          <w:szCs w:val="28"/>
          <w:highlight w:val="none"/>
        </w:rPr>
        <w:t>(3)承包人无正当理由拒绝更换项目经理的违约责任：</w:t>
      </w:r>
      <w:r>
        <w:rPr>
          <w:rFonts w:hint="eastAsia" w:ascii="仿宋_GB2312" w:hAnsi="仿宋_GB2312" w:eastAsia="仿宋_GB2312" w:cs="仿宋_GB2312"/>
          <w:bCs/>
          <w:snapToGrid w:val="0"/>
          <w:kern w:val="0"/>
          <w:sz w:val="28"/>
          <w:szCs w:val="28"/>
          <w:u w:val="single"/>
        </w:rPr>
        <w:t xml:space="preserve">              </w:t>
      </w:r>
    </w:p>
    <w:p w14:paraId="621BC15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u w:val="single"/>
        </w:rPr>
        <w:t xml:space="preserve">                                                             </w:t>
      </w:r>
      <w:r>
        <w:rPr>
          <w:rFonts w:hint="eastAsia" w:ascii="仿宋_GB2312" w:hAnsi="仿宋_GB2312" w:eastAsia="仿宋_GB2312" w:cs="仿宋_GB2312"/>
          <w:bCs/>
          <w:snapToGrid w:val="0"/>
          <w:kern w:val="0"/>
          <w:sz w:val="28"/>
          <w:szCs w:val="28"/>
          <w:highlight w:val="none"/>
          <w:u w:val="none"/>
        </w:rPr>
        <w:t xml:space="preserve"> </w:t>
      </w:r>
      <w:r>
        <w:rPr>
          <w:rFonts w:hint="eastAsia" w:ascii="仿宋_GB2312" w:hAnsi="仿宋_GB2312" w:eastAsia="仿宋_GB2312" w:cs="仿宋_GB2312"/>
          <w:bCs/>
          <w:snapToGrid w:val="0"/>
          <w:kern w:val="0"/>
          <w:sz w:val="28"/>
          <w:szCs w:val="28"/>
          <w:highlight w:val="none"/>
          <w:u w:val="none"/>
          <w:lang w:val="en-US"/>
        </w:rPr>
        <w:t xml:space="preserve">             </w:t>
      </w:r>
      <w:bookmarkStart w:id="397" w:name="_Toc305331446"/>
    </w:p>
    <w:p w14:paraId="6665621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398" w:name="_Toc492905221"/>
      <w:bookmarkStart w:id="399" w:name="_Toc302635960"/>
      <w:bookmarkStart w:id="400" w:name="_Toc27016"/>
      <w:r>
        <w:rPr>
          <w:rFonts w:hint="eastAsia" w:ascii="仿宋_GB2312" w:hAnsi="仿宋_GB2312" w:eastAsia="仿宋_GB2312" w:cs="仿宋_GB2312"/>
          <w:b/>
          <w:sz w:val="28"/>
          <w:szCs w:val="28"/>
          <w:highlight w:val="none"/>
          <w:lang w:val="en-US" w:eastAsia="zh-CN"/>
        </w:rPr>
        <w:t>4.6 施工管理人员</w:t>
      </w:r>
      <w:bookmarkEnd w:id="397"/>
      <w:bookmarkEnd w:id="398"/>
      <w:bookmarkEnd w:id="399"/>
      <w:bookmarkEnd w:id="400"/>
    </w:p>
    <w:p w14:paraId="15EB98B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宋体" w:hAnsi="宋体"/>
          <w:sz w:val="24"/>
          <w:highlight w:val="none"/>
        </w:rPr>
      </w:pPr>
      <w:r>
        <w:rPr>
          <w:rFonts w:hint="eastAsia" w:ascii="仿宋_GB2312" w:hAnsi="仿宋_GB2312" w:eastAsia="仿宋_GB2312" w:cs="仿宋_GB2312"/>
          <w:bCs/>
          <w:snapToGrid w:val="0"/>
          <w:kern w:val="0"/>
          <w:sz w:val="28"/>
          <w:szCs w:val="28"/>
          <w:highlight w:val="none"/>
        </w:rPr>
        <w:t>(2)属于承包人主要施工管理人员的其他人员包括</w:t>
      </w:r>
      <w:r>
        <w:rPr>
          <w:rFonts w:hint="eastAsia" w:ascii="仿宋_GB2312" w:hAnsi="仿宋_GB2312" w:eastAsia="仿宋_GB2312" w:cs="仿宋_GB2312"/>
          <w:b w:val="0"/>
          <w:bCs/>
          <w:snapToGrid w:val="0"/>
          <w:kern w:val="0"/>
          <w:sz w:val="28"/>
          <w:szCs w:val="28"/>
          <w:highlight w:val="none"/>
          <w:u w:val="none"/>
        </w:rPr>
        <w:t xml:space="preserve">                         </w:t>
      </w:r>
      <w:r>
        <w:rPr>
          <w:rFonts w:hint="eastAsia" w:ascii="仿宋_GB2312" w:hAnsi="仿宋_GB2312" w:eastAsia="仿宋_GB2312" w:cs="仿宋_GB2312"/>
          <w:bCs/>
          <w:snapToGrid w:val="0"/>
          <w:kern w:val="0"/>
          <w:sz w:val="28"/>
          <w:szCs w:val="28"/>
          <w:highlight w:val="none"/>
        </w:rPr>
        <w:t>。</w:t>
      </w:r>
    </w:p>
    <w:p w14:paraId="1542FD7C">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宋体" w:hAnsi="宋体"/>
          <w:sz w:val="24"/>
          <w:highlight w:val="none"/>
          <w:u w:val="single"/>
        </w:rPr>
      </w:pPr>
      <w:r>
        <w:rPr>
          <w:rFonts w:hint="eastAsia" w:ascii="仿宋_GB2312" w:hAnsi="仿宋_GB2312" w:eastAsia="仿宋_GB2312" w:cs="仿宋_GB2312"/>
          <w:bCs/>
          <w:snapToGrid w:val="0"/>
          <w:kern w:val="0"/>
          <w:sz w:val="28"/>
          <w:szCs w:val="28"/>
          <w:highlight w:val="none"/>
        </w:rPr>
        <w:t>(3)承包人主要施工管理人员离开施工现场的批准要求：</w:t>
      </w:r>
      <w:r>
        <w:rPr>
          <w:rFonts w:hint="eastAsia" w:ascii="仿宋_GB2312" w:hAnsi="仿宋_GB2312" w:eastAsia="仿宋_GB2312" w:cs="仿宋_GB2312"/>
          <w:bCs/>
          <w:snapToGrid w:val="0"/>
          <w:kern w:val="0"/>
          <w:sz w:val="28"/>
          <w:szCs w:val="28"/>
          <w:highlight w:val="none"/>
          <w:u w:val="none"/>
        </w:rPr>
        <w:t xml:space="preserve"> </w:t>
      </w:r>
      <w:r>
        <w:rPr>
          <w:rFonts w:hint="eastAsia" w:ascii="宋体" w:hAnsi="宋体"/>
          <w:sz w:val="24"/>
          <w:highlight w:val="none"/>
          <w:u w:val="single"/>
        </w:rPr>
        <w:t xml:space="preserve">                       </w:t>
      </w:r>
    </w:p>
    <w:p w14:paraId="20A94E60">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宋体" w:hAnsi="宋体"/>
          <w:sz w:val="24"/>
          <w:highlight w:val="none"/>
          <w:u w:val="single"/>
        </w:rPr>
      </w:pPr>
      <w:r>
        <w:rPr>
          <w:rFonts w:hint="eastAsia" w:ascii="宋体" w:hAnsi="宋体"/>
          <w:sz w:val="24"/>
          <w:highlight w:val="none"/>
          <w:u w:val="single"/>
        </w:rPr>
        <w:t xml:space="preserve">                                                                            </w:t>
      </w:r>
    </w:p>
    <w:p w14:paraId="6B2AB0E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(5)承包人的管理人员在施工期间出现以下情况，应承担的违约责任：</w:t>
      </w:r>
    </w:p>
    <w:p w14:paraId="6639358C">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①承包人的项目管理机构设置与投标文件的承诺不一致的，承包人应向发包人支付违约金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596B5F61">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②承包人的主要施工管理人员不到位的，承包人应向发包人支付违约金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元／人次； </w:t>
      </w:r>
    </w:p>
    <w:p w14:paraId="4BCE62F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③未经发包人同意，承包人擅自更换主要施工管理人员的，承包人应向发包人支付违约金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元／人次；</w:t>
      </w:r>
    </w:p>
    <w:p w14:paraId="78FA25E4">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宋体" w:hAnsi="宋体"/>
          <w:sz w:val="24"/>
          <w:highlight w:val="none"/>
        </w:rPr>
      </w:pPr>
      <w:r>
        <w:rPr>
          <w:rFonts w:hint="eastAsia" w:ascii="仿宋_GB2312" w:hAnsi="仿宋_GB2312" w:eastAsia="仿宋_GB2312" w:cs="仿宋_GB2312"/>
          <w:bCs/>
          <w:snapToGrid w:val="0"/>
          <w:kern w:val="0"/>
          <w:sz w:val="28"/>
          <w:szCs w:val="28"/>
          <w:highlight w:val="none"/>
        </w:rPr>
        <w:t>④承包人的主要施工管理人员未经监理人或发包人同意擅自离开施工现场的，承包人应向发包人支付违约金</w:t>
      </w:r>
      <w:r>
        <w:rPr>
          <w:rFonts w:hint="eastAsia" w:ascii="仿宋_GB2312" w:hAnsi="仿宋_GB2312" w:eastAsia="仿宋_GB2312" w:cs="仿宋_GB2312"/>
          <w:b w:val="0"/>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元／人次；</w:t>
      </w:r>
    </w:p>
    <w:p w14:paraId="6467517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rPr>
      </w:pPr>
      <w:r>
        <w:rPr>
          <w:rFonts w:hint="eastAsia" w:ascii="宋体" w:hAnsi="宋体"/>
          <w:sz w:val="24"/>
          <w:highlight w:val="none"/>
        </w:rPr>
        <w:t>⑤</w:t>
      </w:r>
      <w:r>
        <w:rPr>
          <w:rFonts w:hint="eastAsia" w:ascii="仿宋_GB2312" w:hAnsi="仿宋_GB2312" w:eastAsia="仿宋_GB2312" w:cs="仿宋_GB2312"/>
          <w:bCs/>
          <w:snapToGrid w:val="0"/>
          <w:kern w:val="0"/>
          <w:sz w:val="28"/>
          <w:szCs w:val="28"/>
          <w:highlight w:val="none"/>
        </w:rPr>
        <w:t>承包人的主要施工管理人员同时兼任承包人其它工程项目的任何职务的，承包人应向发包人支付违约金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元／人次；</w:t>
      </w:r>
    </w:p>
    <w:p w14:paraId="76074BAF">
      <w:pPr>
        <w:pageBreakBefore w:val="0"/>
        <w:numPr>
          <w:ilvl w:val="-1"/>
          <w:numId w:val="0"/>
        </w:numPr>
        <w:kinsoku/>
        <w:wordWrap w:val="0"/>
        <w:overflowPunct/>
        <w:topLinePunct w:val="0"/>
        <w:autoSpaceDE/>
        <w:autoSpaceDN/>
        <w:bidi w:val="0"/>
        <w:adjustRightInd w:val="0"/>
        <w:snapToGrid w:val="0"/>
        <w:spacing w:line="560" w:lineRule="exact"/>
        <w:ind w:left="0" w:leftChars="0" w:right="0" w:rightChars="0" w:firstLine="482"/>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lang w:val="en-US" w:eastAsia="zh-CN"/>
        </w:rPr>
        <w:t>(4)</w:t>
      </w:r>
      <w:r>
        <w:rPr>
          <w:rFonts w:hint="eastAsia" w:ascii="仿宋_GB2312" w:hAnsi="仿宋_GB2312" w:eastAsia="仿宋_GB2312" w:cs="仿宋_GB2312"/>
          <w:bCs/>
          <w:snapToGrid w:val="0"/>
          <w:kern w:val="0"/>
          <w:sz w:val="28"/>
          <w:szCs w:val="28"/>
          <w:highlight w:val="none"/>
        </w:rPr>
        <w:t>承包人无正当理由拒绝撤换的，</w:t>
      </w:r>
      <w:r>
        <w:rPr>
          <w:rFonts w:hint="eastAsia" w:ascii="宋体" w:hAnsi="宋体"/>
          <w:sz w:val="24"/>
          <w:highlight w:val="none"/>
          <w:u w:val="single"/>
        </w:rPr>
        <w:t xml:space="preserve">                                        </w:t>
      </w:r>
      <w:r>
        <w:rPr>
          <w:rFonts w:hint="eastAsia" w:ascii="宋体" w:hAnsi="宋体"/>
          <w:sz w:val="24"/>
          <w:highlight w:val="none"/>
        </w:rPr>
        <w:t>。</w:t>
      </w:r>
    </w:p>
    <w:p w14:paraId="479A95A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01" w:name="_Toc15139"/>
      <w:r>
        <w:rPr>
          <w:rFonts w:hint="eastAsia" w:ascii="仿宋_GB2312" w:hAnsi="仿宋_GB2312" w:eastAsia="仿宋_GB2312" w:cs="仿宋_GB2312"/>
          <w:b/>
          <w:sz w:val="28"/>
          <w:szCs w:val="28"/>
          <w:highlight w:val="none"/>
          <w:lang w:val="en-US" w:eastAsia="zh-CN"/>
        </w:rPr>
        <w:t>4.7联合体承包人</w:t>
      </w:r>
      <w:bookmarkEnd w:id="401"/>
    </w:p>
    <w:p w14:paraId="2C4A672F">
      <w:pPr>
        <w:pageBreakBefore w:val="0"/>
        <w:numPr>
          <w:ilvl w:val="255"/>
          <w:numId w:val="0"/>
        </w:numPr>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关于联合体付款的特别约定：</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bookmarkEnd w:id="387"/>
    <w:p w14:paraId="0979B6E7">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402" w:name="_Toc302635961"/>
      <w:bookmarkStart w:id="403" w:name="_Toc35656526"/>
      <w:bookmarkStart w:id="404" w:name="_Toc305331447"/>
      <w:bookmarkStart w:id="405" w:name="_Toc18171"/>
      <w:bookmarkStart w:id="406" w:name="_Toc492905222"/>
      <w:r>
        <w:rPr>
          <w:rFonts w:hint="eastAsia" w:ascii="仿宋_GB2312" w:hAnsi="仿宋_GB2312" w:eastAsia="仿宋_GB2312" w:cs="仿宋_GB2312"/>
          <w:b/>
          <w:bCs w:val="0"/>
          <w:snapToGrid w:val="0"/>
          <w:kern w:val="0"/>
          <w:sz w:val="28"/>
          <w:szCs w:val="28"/>
          <w:highlight w:val="none"/>
        </w:rPr>
        <w:t>5 监理</w:t>
      </w:r>
      <w:bookmarkEnd w:id="402"/>
      <w:bookmarkEnd w:id="403"/>
      <w:bookmarkEnd w:id="404"/>
      <w:r>
        <w:rPr>
          <w:rFonts w:hint="eastAsia" w:ascii="仿宋_GB2312" w:hAnsi="仿宋_GB2312" w:eastAsia="仿宋_GB2312" w:cs="仿宋_GB2312"/>
          <w:b/>
          <w:bCs w:val="0"/>
          <w:snapToGrid w:val="0"/>
          <w:kern w:val="0"/>
          <w:sz w:val="28"/>
          <w:szCs w:val="28"/>
          <w:highlight w:val="none"/>
        </w:rPr>
        <w:t>人</w:t>
      </w:r>
      <w:bookmarkEnd w:id="405"/>
      <w:bookmarkEnd w:id="406"/>
    </w:p>
    <w:p w14:paraId="078329F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07" w:name="_Toc302635962"/>
      <w:bookmarkStart w:id="408" w:name="_Toc305331448"/>
      <w:bookmarkStart w:id="409" w:name="_Toc18793"/>
      <w:bookmarkStart w:id="410" w:name="_Toc492905223"/>
      <w:r>
        <w:rPr>
          <w:rFonts w:hint="eastAsia" w:ascii="仿宋_GB2312" w:hAnsi="仿宋_GB2312" w:eastAsia="仿宋_GB2312" w:cs="仿宋_GB2312"/>
          <w:b/>
          <w:sz w:val="28"/>
          <w:szCs w:val="28"/>
          <w:highlight w:val="none"/>
          <w:lang w:val="en-US" w:eastAsia="zh-CN"/>
        </w:rPr>
        <w:t>5.1 监理人的</w:t>
      </w:r>
      <w:bookmarkEnd w:id="407"/>
      <w:bookmarkEnd w:id="408"/>
      <w:r>
        <w:rPr>
          <w:rFonts w:hint="eastAsia" w:ascii="仿宋_GB2312" w:hAnsi="仿宋_GB2312" w:eastAsia="仿宋_GB2312" w:cs="仿宋_GB2312"/>
          <w:b/>
          <w:sz w:val="28"/>
          <w:szCs w:val="28"/>
          <w:highlight w:val="none"/>
          <w:lang w:val="en-US" w:eastAsia="zh-CN"/>
        </w:rPr>
        <w:t>通知</w:t>
      </w:r>
      <w:bookmarkEnd w:id="409"/>
      <w:bookmarkEnd w:id="410"/>
    </w:p>
    <w:p w14:paraId="7D9FC548">
      <w:pPr>
        <w:pageBreakBefore w:val="0"/>
        <w:kinsoku/>
        <w:overflowPunct/>
        <w:topLinePunct w:val="0"/>
        <w:autoSpaceDE/>
        <w:autoSpaceDN/>
        <w:bidi w:val="0"/>
        <w:adjustRightInd w:val="0"/>
        <w:snapToGrid w:val="0"/>
        <w:spacing w:line="560" w:lineRule="exact"/>
        <w:ind w:left="0" w:leftChars="0" w:right="0" w:rightChars="0" w:firstLine="72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监理人名称：</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E85256D">
      <w:pPr>
        <w:pageBreakBefore w:val="0"/>
        <w:kinsoku/>
        <w:overflowPunct/>
        <w:topLinePunct w:val="0"/>
        <w:autoSpaceDE/>
        <w:autoSpaceDN/>
        <w:bidi w:val="0"/>
        <w:adjustRightInd w:val="0"/>
        <w:snapToGrid w:val="0"/>
        <w:spacing w:line="560" w:lineRule="exact"/>
        <w:ind w:left="0" w:leftChars="0" w:right="0" w:rightChars="0" w:firstLine="72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总监理工程师姓名：</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，资格证书号：</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1CA771A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11" w:name="_Toc305331449"/>
      <w:bookmarkStart w:id="412" w:name="_Toc302635963"/>
      <w:bookmarkStart w:id="413" w:name="_Toc6258"/>
      <w:bookmarkStart w:id="414" w:name="_Toc492905224"/>
      <w:r>
        <w:rPr>
          <w:rFonts w:hint="eastAsia" w:ascii="仿宋_GB2312" w:hAnsi="仿宋_GB2312" w:eastAsia="仿宋_GB2312" w:cs="仿宋_GB2312"/>
          <w:b/>
          <w:sz w:val="28"/>
          <w:szCs w:val="28"/>
          <w:highlight w:val="none"/>
          <w:lang w:val="en-US" w:eastAsia="zh-CN"/>
        </w:rPr>
        <w:t>5.3监理人权力的限制</w:t>
      </w:r>
      <w:bookmarkEnd w:id="411"/>
      <w:bookmarkEnd w:id="412"/>
      <w:bookmarkEnd w:id="413"/>
      <w:bookmarkEnd w:id="414"/>
    </w:p>
    <w:p w14:paraId="0AE36888">
      <w:pPr>
        <w:pageBreakBefore w:val="0"/>
        <w:kinsoku/>
        <w:overflowPunct/>
        <w:topLinePunct w:val="0"/>
        <w:autoSpaceDE/>
        <w:autoSpaceDN/>
        <w:bidi w:val="0"/>
        <w:adjustRightInd w:val="0"/>
        <w:snapToGrid w:val="0"/>
        <w:spacing w:line="560" w:lineRule="exact"/>
        <w:ind w:left="0" w:leftChars="0" w:right="0" w:rightChars="0" w:firstLine="72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(1)⑧监理人行使的其他需要取得发包人批准的权力：</w:t>
      </w:r>
      <w:bookmarkStart w:id="415" w:name="_Toc35656528"/>
      <w:r>
        <w:rPr>
          <w:rFonts w:hint="eastAsia" w:ascii="仿宋_GB2312" w:hAnsi="仿宋_GB2312" w:eastAsia="仿宋_GB2312" w:cs="仿宋_GB2312"/>
          <w:bCs/>
          <w:snapToGrid w:val="0"/>
          <w:kern w:val="0"/>
          <w:sz w:val="28"/>
          <w:szCs w:val="28"/>
          <w:highlight w:val="none"/>
          <w:u w:val="single"/>
        </w:rPr>
        <w:t xml:space="preserve">            </w:t>
      </w:r>
    </w:p>
    <w:p w14:paraId="3500B34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363C2B9E">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416" w:name="_Toc305331450"/>
      <w:bookmarkStart w:id="417" w:name="_Toc302635964"/>
      <w:bookmarkStart w:id="418" w:name="_Toc4044"/>
      <w:bookmarkStart w:id="419" w:name="_Toc492905225"/>
      <w:r>
        <w:rPr>
          <w:rFonts w:hint="eastAsia" w:ascii="仿宋_GB2312" w:hAnsi="仿宋_GB2312" w:eastAsia="仿宋_GB2312" w:cs="仿宋_GB2312"/>
          <w:b/>
          <w:bCs w:val="0"/>
          <w:snapToGrid w:val="0"/>
          <w:kern w:val="0"/>
          <w:sz w:val="28"/>
          <w:szCs w:val="28"/>
          <w:highlight w:val="none"/>
        </w:rPr>
        <w:t>6 转让、分包</w:t>
      </w:r>
      <w:bookmarkEnd w:id="415"/>
      <w:bookmarkEnd w:id="416"/>
      <w:bookmarkEnd w:id="417"/>
      <w:bookmarkEnd w:id="418"/>
      <w:bookmarkEnd w:id="419"/>
    </w:p>
    <w:p w14:paraId="3A37C3F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20" w:name="_Toc302635965"/>
      <w:bookmarkStart w:id="421" w:name="_Toc492905226"/>
      <w:bookmarkStart w:id="422" w:name="_Toc305331451"/>
      <w:bookmarkStart w:id="423" w:name="_Toc1546"/>
      <w:bookmarkStart w:id="424" w:name="_Toc35656529"/>
      <w:r>
        <w:rPr>
          <w:rFonts w:hint="eastAsia" w:ascii="仿宋_GB2312" w:hAnsi="仿宋_GB2312" w:eastAsia="仿宋_GB2312" w:cs="仿宋_GB2312"/>
          <w:b/>
          <w:sz w:val="28"/>
          <w:szCs w:val="28"/>
          <w:highlight w:val="none"/>
          <w:lang w:val="en-US" w:eastAsia="zh-CN"/>
        </w:rPr>
        <w:t>6.1 转让</w:t>
      </w:r>
      <w:bookmarkEnd w:id="420"/>
      <w:bookmarkEnd w:id="421"/>
      <w:bookmarkEnd w:id="422"/>
      <w:bookmarkEnd w:id="423"/>
    </w:p>
    <w:p w14:paraId="6473DC6F">
      <w:pPr>
        <w:pageBreakBefore w:val="0"/>
        <w:kinsoku/>
        <w:overflowPunct/>
        <w:topLinePunct w:val="0"/>
        <w:autoSpaceDE/>
        <w:autoSpaceDN/>
        <w:bidi w:val="0"/>
        <w:adjustRightInd w:val="0"/>
        <w:snapToGrid w:val="0"/>
        <w:spacing w:line="560" w:lineRule="exact"/>
        <w:ind w:left="0" w:leftChars="0" w:right="0" w:rightChars="0" w:firstLine="60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如承包人有转让行为，应向发包人支付违约金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元/次，且发包人有权解除本合同。</w:t>
      </w:r>
    </w:p>
    <w:p w14:paraId="3422599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25" w:name="_Toc492905227"/>
      <w:bookmarkStart w:id="426" w:name="_Toc12638"/>
      <w:bookmarkStart w:id="427" w:name="_Toc302635966"/>
      <w:bookmarkStart w:id="428" w:name="_Toc305331452"/>
      <w:r>
        <w:rPr>
          <w:rFonts w:hint="eastAsia" w:ascii="仿宋_GB2312" w:hAnsi="仿宋_GB2312" w:eastAsia="仿宋_GB2312" w:cs="仿宋_GB2312"/>
          <w:b/>
          <w:sz w:val="28"/>
          <w:szCs w:val="28"/>
          <w:highlight w:val="none"/>
          <w:lang w:val="en-US" w:eastAsia="zh-CN"/>
        </w:rPr>
        <w:t>6.2 分包</w:t>
      </w:r>
      <w:bookmarkEnd w:id="425"/>
      <w:bookmarkEnd w:id="426"/>
      <w:bookmarkEnd w:id="427"/>
      <w:bookmarkEnd w:id="428"/>
    </w:p>
    <w:p w14:paraId="0A6886D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(2)承包人不得分包的主体结构、关键性工作范围包括：</w:t>
      </w:r>
      <w:r>
        <w:rPr>
          <w:rFonts w:hint="eastAsia" w:ascii="仿宋_GB2312" w:hAnsi="仿宋_GB2312" w:eastAsia="仿宋_GB2312" w:cs="仿宋_GB2312"/>
          <w:bCs/>
          <w:snapToGrid w:val="0"/>
          <w:kern w:val="0"/>
          <w:sz w:val="28"/>
          <w:szCs w:val="28"/>
          <w:highlight w:val="none"/>
          <w:u w:val="single"/>
        </w:rPr>
        <w:t xml:space="preserve">            </w:t>
      </w:r>
    </w:p>
    <w:p w14:paraId="6E1C39D1">
      <w:pPr>
        <w:pageBreakBefore w:val="0"/>
        <w:kinsoku/>
        <w:overflowPunct/>
        <w:topLinePunct w:val="0"/>
        <w:autoSpaceDE/>
        <w:autoSpaceDN/>
        <w:bidi w:val="0"/>
        <w:adjustRightInd w:val="0"/>
        <w:snapToGrid w:val="0"/>
        <w:spacing w:line="560" w:lineRule="exact"/>
        <w:ind w:left="0" w:leftChars="0" w:right="0" w:rightChars="0" w:hanging="2"/>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5D2D479F">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(3)如出现承包人未经监理人审查和发包人同意的分包行为，承包人应向发包人支付违约金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元/次。</w:t>
      </w:r>
    </w:p>
    <w:p w14:paraId="1E2ECC4B">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(4)如出现分包人将分包工程的任何部分再分包的行为，承包人应向发包人支付违约金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元/次。</w:t>
      </w:r>
    </w:p>
    <w:p w14:paraId="5EF12B10">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(5)如承包人有将其承包范围内全部工程肢解分包的行为，应向发包人支付违约金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元/次。</w:t>
      </w:r>
    </w:p>
    <w:p w14:paraId="7E3CBB8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29" w:name="_Toc23660"/>
      <w:bookmarkStart w:id="430" w:name="_Toc492905228"/>
      <w:bookmarkStart w:id="431" w:name="_Toc305331453"/>
      <w:bookmarkStart w:id="432" w:name="_Toc302635967"/>
      <w:r>
        <w:rPr>
          <w:rFonts w:hint="eastAsia" w:ascii="仿宋_GB2312" w:hAnsi="仿宋_GB2312" w:eastAsia="仿宋_GB2312" w:cs="仿宋_GB2312"/>
          <w:b/>
          <w:sz w:val="28"/>
          <w:szCs w:val="28"/>
          <w:highlight w:val="none"/>
          <w:lang w:val="en-US" w:eastAsia="zh-CN"/>
        </w:rPr>
        <w:t>6.3 分包人的确定</w:t>
      </w:r>
      <w:bookmarkEnd w:id="429"/>
      <w:bookmarkEnd w:id="430"/>
      <w:bookmarkEnd w:id="431"/>
      <w:bookmarkEnd w:id="432"/>
    </w:p>
    <w:p w14:paraId="327D337D">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(1)分包人应符合的条件：</w:t>
      </w:r>
      <w:r>
        <w:rPr>
          <w:rFonts w:hint="eastAsia" w:ascii="仿宋_GB2312" w:hAnsi="仿宋_GB2312" w:eastAsia="仿宋_GB2312" w:cs="仿宋_GB2312"/>
          <w:bCs/>
          <w:snapToGrid w:val="0"/>
          <w:kern w:val="0"/>
          <w:sz w:val="28"/>
          <w:szCs w:val="28"/>
          <w:highlight w:val="none"/>
          <w:u w:val="none"/>
        </w:rPr>
        <w:t xml:space="preserve"> </w:t>
      </w:r>
    </w:p>
    <w:p w14:paraId="11F7594C">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433" w:name="_Toc492905229"/>
      <w:bookmarkStart w:id="434" w:name="_Toc302635968"/>
      <w:bookmarkStart w:id="435" w:name="_Toc305331454"/>
      <w:bookmarkStart w:id="436" w:name="_Toc3727"/>
      <w:r>
        <w:rPr>
          <w:rFonts w:hint="eastAsia" w:ascii="仿宋_GB2312" w:hAnsi="仿宋_GB2312" w:eastAsia="仿宋_GB2312" w:cs="仿宋_GB2312"/>
          <w:b/>
          <w:bCs w:val="0"/>
          <w:snapToGrid w:val="0"/>
          <w:kern w:val="0"/>
          <w:sz w:val="28"/>
          <w:szCs w:val="28"/>
          <w:highlight w:val="none"/>
        </w:rPr>
        <w:t>7 专业工程发包</w:t>
      </w:r>
      <w:bookmarkEnd w:id="433"/>
      <w:bookmarkEnd w:id="434"/>
      <w:bookmarkEnd w:id="435"/>
      <w:bookmarkEnd w:id="436"/>
    </w:p>
    <w:p w14:paraId="686C296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37" w:name="_Toc28400"/>
      <w:bookmarkStart w:id="438" w:name="_Toc492905230"/>
      <w:bookmarkStart w:id="439" w:name="_Toc305331455"/>
      <w:bookmarkStart w:id="440" w:name="_Toc302635969"/>
      <w:r>
        <w:rPr>
          <w:rFonts w:hint="eastAsia" w:ascii="仿宋_GB2312" w:hAnsi="仿宋_GB2312" w:eastAsia="仿宋_GB2312" w:cs="仿宋_GB2312"/>
          <w:b/>
          <w:sz w:val="28"/>
          <w:szCs w:val="28"/>
          <w:highlight w:val="none"/>
          <w:lang w:val="en-US" w:eastAsia="zh-CN"/>
        </w:rPr>
        <w:t>7.1 专业工程承包人</w:t>
      </w:r>
      <w:bookmarkEnd w:id="437"/>
      <w:bookmarkEnd w:id="438"/>
      <w:bookmarkEnd w:id="439"/>
      <w:bookmarkEnd w:id="440"/>
    </w:p>
    <w:p w14:paraId="36A3068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bookmarkStart w:id="441" w:name="_Toc448841233"/>
      <w:bookmarkStart w:id="442" w:name="_Toc453616565"/>
      <w:bookmarkStart w:id="443" w:name="_Toc448494238"/>
      <w:r>
        <w:rPr>
          <w:rFonts w:hint="eastAsia" w:ascii="仿宋_GB2312" w:hAnsi="仿宋_GB2312" w:eastAsia="仿宋_GB2312" w:cs="仿宋_GB2312"/>
          <w:bCs/>
          <w:snapToGrid w:val="0"/>
          <w:kern w:val="0"/>
          <w:sz w:val="28"/>
          <w:szCs w:val="28"/>
          <w:highlight w:val="none"/>
        </w:rPr>
        <w:t>（1）</w:t>
      </w:r>
    </w:p>
    <w:tbl>
      <w:tblPr>
        <w:tblStyle w:val="45"/>
        <w:tblpPr w:leftFromText="180" w:rightFromText="180" w:vertAnchor="text" w:horzAnchor="page" w:tblpX="2386" w:tblpY="235"/>
        <w:tblW w:w="7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2"/>
        <w:gridCol w:w="4252"/>
      </w:tblGrid>
      <w:tr w14:paraId="194B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shd w:val="clear" w:color="auto" w:fill="auto"/>
            <w:vAlign w:val="center"/>
          </w:tcPr>
          <w:p w14:paraId="31745B4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序号</w:t>
            </w:r>
          </w:p>
        </w:tc>
        <w:tc>
          <w:tcPr>
            <w:tcW w:w="2552" w:type="dxa"/>
            <w:shd w:val="clear" w:color="auto" w:fill="auto"/>
            <w:vAlign w:val="center"/>
          </w:tcPr>
          <w:p w14:paraId="3E7266F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专业工程名称</w:t>
            </w:r>
          </w:p>
        </w:tc>
        <w:tc>
          <w:tcPr>
            <w:tcW w:w="4252" w:type="dxa"/>
            <w:shd w:val="clear" w:color="auto" w:fill="auto"/>
            <w:vAlign w:val="center"/>
          </w:tcPr>
          <w:p w14:paraId="4C9F5B92">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专业工程承包人</w:t>
            </w:r>
          </w:p>
        </w:tc>
      </w:tr>
      <w:tr w14:paraId="671A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shd w:val="clear" w:color="auto" w:fill="auto"/>
            <w:vAlign w:val="center"/>
          </w:tcPr>
          <w:p w14:paraId="790E29B0">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c>
          <w:tcPr>
            <w:tcW w:w="2552" w:type="dxa"/>
            <w:shd w:val="clear" w:color="auto" w:fill="auto"/>
            <w:vAlign w:val="bottom"/>
          </w:tcPr>
          <w:p w14:paraId="150006D3">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c>
          <w:tcPr>
            <w:tcW w:w="4252" w:type="dxa"/>
            <w:shd w:val="clear" w:color="auto" w:fill="auto"/>
            <w:vAlign w:val="bottom"/>
          </w:tcPr>
          <w:p w14:paraId="44A5FCD9">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r>
      <w:tr w14:paraId="6889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shd w:val="clear" w:color="auto" w:fill="auto"/>
            <w:vAlign w:val="center"/>
          </w:tcPr>
          <w:p w14:paraId="3F1244CD">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c>
          <w:tcPr>
            <w:tcW w:w="2552" w:type="dxa"/>
            <w:shd w:val="clear" w:color="auto" w:fill="auto"/>
            <w:vAlign w:val="bottom"/>
          </w:tcPr>
          <w:p w14:paraId="7D6C559B">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c>
          <w:tcPr>
            <w:tcW w:w="4252" w:type="dxa"/>
            <w:shd w:val="clear" w:color="auto" w:fill="auto"/>
            <w:vAlign w:val="bottom"/>
          </w:tcPr>
          <w:p w14:paraId="1DDEA0A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473D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shd w:val="clear" w:color="auto" w:fill="auto"/>
            <w:vAlign w:val="center"/>
          </w:tcPr>
          <w:p w14:paraId="0B3935B9">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c>
          <w:tcPr>
            <w:tcW w:w="2552" w:type="dxa"/>
            <w:shd w:val="clear" w:color="auto" w:fill="auto"/>
            <w:vAlign w:val="bottom"/>
          </w:tcPr>
          <w:p w14:paraId="78040BB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4252" w:type="dxa"/>
            <w:shd w:val="clear" w:color="auto" w:fill="auto"/>
            <w:vAlign w:val="bottom"/>
          </w:tcPr>
          <w:p w14:paraId="7C43157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9C1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shd w:val="clear" w:color="auto" w:fill="auto"/>
            <w:vAlign w:val="center"/>
          </w:tcPr>
          <w:p w14:paraId="5A02E5AC">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c>
          <w:tcPr>
            <w:tcW w:w="2552" w:type="dxa"/>
            <w:shd w:val="clear" w:color="auto" w:fill="auto"/>
            <w:vAlign w:val="bottom"/>
          </w:tcPr>
          <w:p w14:paraId="7C7C14E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4252" w:type="dxa"/>
            <w:shd w:val="clear" w:color="auto" w:fill="auto"/>
            <w:vAlign w:val="bottom"/>
          </w:tcPr>
          <w:p w14:paraId="076BEB2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bl>
    <w:p w14:paraId="1C047E5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p>
    <w:p w14:paraId="54B2C59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p w14:paraId="7965C89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bookmarkEnd w:id="441"/>
    <w:bookmarkEnd w:id="442"/>
    <w:bookmarkEnd w:id="443"/>
    <w:p w14:paraId="3C52141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44" w:name="_Toc30558"/>
      <w:bookmarkStart w:id="445" w:name="_Toc492905231"/>
      <w:r>
        <w:rPr>
          <w:rFonts w:hint="eastAsia" w:ascii="仿宋_GB2312" w:hAnsi="仿宋_GB2312" w:eastAsia="仿宋_GB2312" w:cs="仿宋_GB2312"/>
          <w:b/>
          <w:sz w:val="28"/>
          <w:szCs w:val="28"/>
          <w:highlight w:val="none"/>
          <w:lang w:val="en-US" w:eastAsia="zh-CN"/>
        </w:rPr>
        <w:t>7.2 总承包服务费</w:t>
      </w:r>
      <w:bookmarkEnd w:id="444"/>
      <w:bookmarkEnd w:id="445"/>
    </w:p>
    <w:bookmarkEnd w:id="424"/>
    <w:p w14:paraId="5D198D5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bookmarkStart w:id="446" w:name="_Toc305331458"/>
      <w:bookmarkStart w:id="447" w:name="_Toc35656531"/>
      <w:r>
        <w:rPr>
          <w:rFonts w:hint="eastAsia" w:ascii="仿宋_GB2312" w:hAnsi="仿宋_GB2312" w:eastAsia="仿宋_GB2312" w:cs="仿宋_GB2312"/>
          <w:bCs/>
          <w:snapToGrid w:val="0"/>
          <w:kern w:val="0"/>
          <w:sz w:val="28"/>
          <w:szCs w:val="28"/>
          <w:highlight w:val="none"/>
        </w:rPr>
        <w:t xml:space="preserve">(1)  </w:t>
      </w:r>
      <w:r>
        <w:rPr>
          <w:rFonts w:hint="eastAsia" w:ascii="仿宋_GB2312" w:hAnsi="仿宋_GB2312" w:eastAsia="仿宋_GB2312" w:cs="仿宋_GB2312"/>
          <w:bCs/>
          <w:snapToGrid w:val="0"/>
          <w:kern w:val="0"/>
          <w:sz w:val="28"/>
          <w:szCs w:val="28"/>
          <w:highlight w:val="none"/>
          <w:u w:val="single"/>
        </w:rPr>
        <w:t xml:space="preserve">                                                        </w:t>
      </w:r>
    </w:p>
    <w:p w14:paraId="42123417">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4C781B5">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CEC7DF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49FB5E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48" w:name="_Toc30613"/>
      <w:bookmarkStart w:id="449" w:name="_Toc492905232"/>
      <w:bookmarkStart w:id="450" w:name="_Toc302635972"/>
      <w:r>
        <w:rPr>
          <w:rFonts w:hint="eastAsia" w:ascii="仿宋_GB2312" w:hAnsi="仿宋_GB2312" w:eastAsia="仿宋_GB2312" w:cs="仿宋_GB2312"/>
          <w:b/>
          <w:sz w:val="28"/>
          <w:szCs w:val="28"/>
          <w:highlight w:val="none"/>
          <w:lang w:val="en-US" w:eastAsia="zh-CN"/>
        </w:rPr>
        <w:t>7.3 工作界面协调</w:t>
      </w:r>
      <w:bookmarkEnd w:id="446"/>
      <w:bookmarkEnd w:id="448"/>
      <w:bookmarkEnd w:id="449"/>
      <w:bookmarkEnd w:id="450"/>
    </w:p>
    <w:p w14:paraId="02743E1E">
      <w:pPr>
        <w:pageBreakBefore w:val="0"/>
        <w:kinsoku/>
        <w:wordWrap w:val="0"/>
        <w:overflowPunct/>
        <w:topLinePunct w:val="0"/>
        <w:autoSpaceDE/>
        <w:autoSpaceDN/>
        <w:bidi w:val="0"/>
        <w:adjustRightInd w:val="0"/>
        <w:snapToGrid w:val="0"/>
        <w:spacing w:line="560" w:lineRule="exact"/>
        <w:ind w:left="0" w:leftChars="0" w:right="0" w:rightChars="0" w:firstLine="482"/>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(4)由于承包人未能及时对工程接口问题进行协调或未及时实施监理人接口指令而造成损失的，承包人应向发包人支付上述损失的</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的违约金。</w:t>
      </w:r>
    </w:p>
    <w:p w14:paraId="7B48C351">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451" w:name="_Toc302635973"/>
      <w:bookmarkStart w:id="452" w:name="_Toc10206"/>
      <w:bookmarkStart w:id="453" w:name="_Toc305331459"/>
      <w:bookmarkStart w:id="454" w:name="_Toc492905233"/>
      <w:r>
        <w:rPr>
          <w:rFonts w:hint="eastAsia" w:ascii="仿宋_GB2312" w:hAnsi="仿宋_GB2312" w:eastAsia="仿宋_GB2312" w:cs="仿宋_GB2312"/>
          <w:b/>
          <w:bCs w:val="0"/>
          <w:snapToGrid w:val="0"/>
          <w:kern w:val="0"/>
          <w:sz w:val="28"/>
          <w:szCs w:val="28"/>
          <w:highlight w:val="none"/>
        </w:rPr>
        <w:t>8 用工和劳务</w:t>
      </w:r>
      <w:bookmarkEnd w:id="451"/>
      <w:bookmarkEnd w:id="452"/>
      <w:bookmarkEnd w:id="453"/>
      <w:bookmarkEnd w:id="454"/>
    </w:p>
    <w:p w14:paraId="694FC57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55" w:name="_Toc19433"/>
      <w:bookmarkStart w:id="456" w:name="_Toc492905234"/>
      <w:bookmarkStart w:id="457" w:name="_Toc302635974"/>
      <w:bookmarkStart w:id="458" w:name="_Toc305331460"/>
      <w:r>
        <w:rPr>
          <w:rFonts w:hint="eastAsia" w:ascii="仿宋_GB2312" w:hAnsi="仿宋_GB2312" w:eastAsia="仿宋_GB2312" w:cs="仿宋_GB2312"/>
          <w:b/>
          <w:sz w:val="28"/>
          <w:szCs w:val="28"/>
          <w:highlight w:val="none"/>
          <w:lang w:val="en-US" w:eastAsia="zh-CN"/>
        </w:rPr>
        <w:t>8.1 劳动合同</w:t>
      </w:r>
      <w:bookmarkEnd w:id="455"/>
      <w:bookmarkEnd w:id="456"/>
      <w:bookmarkEnd w:id="457"/>
    </w:p>
    <w:p w14:paraId="45571CA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(3)若发包人或监理人发现有未签订劳动合同的劳动者在现场施工，承包人应向发包人支付违约金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元/人次。</w:t>
      </w:r>
    </w:p>
    <w:p w14:paraId="1B99D05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59" w:name="_Toc492905235"/>
      <w:bookmarkStart w:id="460" w:name="_Toc302635975"/>
      <w:bookmarkStart w:id="461" w:name="_Toc13857"/>
      <w:r>
        <w:rPr>
          <w:rFonts w:hint="eastAsia" w:ascii="仿宋_GB2312" w:hAnsi="仿宋_GB2312" w:eastAsia="仿宋_GB2312" w:cs="仿宋_GB2312"/>
          <w:b/>
          <w:sz w:val="28"/>
          <w:szCs w:val="28"/>
          <w:highlight w:val="none"/>
          <w:lang w:val="en-US" w:eastAsia="zh-CN"/>
        </w:rPr>
        <w:t>8.2 劳务分包</w:t>
      </w:r>
      <w:bookmarkEnd w:id="458"/>
      <w:bookmarkEnd w:id="459"/>
      <w:bookmarkEnd w:id="460"/>
      <w:bookmarkEnd w:id="461"/>
    </w:p>
    <w:p w14:paraId="1971C3F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(2)劳务分包企业对所有派遣劳动者购买意外伤害险和工伤保险的保险金额不得低于：</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65A060D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62" w:name="_Toc302635976"/>
      <w:bookmarkStart w:id="463" w:name="_Toc492905236"/>
      <w:bookmarkStart w:id="464" w:name="_Toc20204"/>
      <w:bookmarkStart w:id="465" w:name="_Toc305331461"/>
      <w:r>
        <w:rPr>
          <w:rFonts w:hint="eastAsia" w:ascii="仿宋_GB2312" w:hAnsi="仿宋_GB2312" w:eastAsia="仿宋_GB2312" w:cs="仿宋_GB2312"/>
          <w:b/>
          <w:sz w:val="28"/>
          <w:szCs w:val="28"/>
          <w:highlight w:val="none"/>
          <w:lang w:val="en-US" w:eastAsia="zh-CN"/>
        </w:rPr>
        <w:t>8.3 劳务分包合同</w:t>
      </w:r>
      <w:bookmarkEnd w:id="462"/>
      <w:bookmarkEnd w:id="463"/>
      <w:bookmarkEnd w:id="464"/>
      <w:bookmarkEnd w:id="465"/>
    </w:p>
    <w:p w14:paraId="6F078450">
      <w:pPr>
        <w:pageBreakBefore w:val="0"/>
        <w:kinsoku/>
        <w:overflowPunct/>
        <w:topLinePunct w:val="0"/>
        <w:autoSpaceDE/>
        <w:autoSpaceDN/>
        <w:bidi w:val="0"/>
        <w:adjustRightInd w:val="0"/>
        <w:snapToGrid w:val="0"/>
        <w:spacing w:line="560" w:lineRule="exact"/>
        <w:ind w:left="0" w:leftChars="0" w:right="0" w:rightChars="0" w:hanging="2"/>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(3)若发包人或监理人发现工地上有未签订劳务分包合同或劳务分包合同未进行备案的劳务企业人员在现场施工，承包人应向发包人支付违约金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元/人次。</w:t>
      </w:r>
    </w:p>
    <w:p w14:paraId="30DB0CB4">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承包人必须严格按照国家、省、市等有关规定支付劳务工工资，不得拖欠或克扣。</w:t>
      </w:r>
    </w:p>
    <w:p w14:paraId="696F2514">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w:t>
      </w:r>
      <w:bookmarkStart w:id="466" w:name="_Hlk10017345"/>
      <w:bookmarkStart w:id="467" w:name="_Hlk10017162"/>
      <w:r>
        <w:rPr>
          <w:rFonts w:hint="eastAsia" w:ascii="仿宋_GB2312" w:hAnsi="仿宋_GB2312" w:eastAsia="仿宋_GB2312" w:cs="仿宋_GB2312"/>
          <w:bCs/>
          <w:snapToGrid w:val="0"/>
          <w:kern w:val="0"/>
          <w:sz w:val="28"/>
          <w:szCs w:val="28"/>
          <w:highlight w:val="none"/>
        </w:rPr>
        <w:t>承包人应按照国家、广东省、深圳市、</w:t>
      </w:r>
      <w:r>
        <w:rPr>
          <w:rFonts w:hint="eastAsia" w:ascii="仿宋_GB2312" w:hAnsi="仿宋_GB2312" w:eastAsia="仿宋_GB2312" w:cs="仿宋_GB2312"/>
          <w:bCs/>
          <w:snapToGrid w:val="0"/>
          <w:kern w:val="0"/>
          <w:sz w:val="28"/>
          <w:szCs w:val="28"/>
          <w:highlight w:val="none"/>
          <w:lang w:val="en-US" w:eastAsia="zh-CN"/>
        </w:rPr>
        <w:t>福田</w:t>
      </w:r>
      <w:r>
        <w:rPr>
          <w:rFonts w:hint="eastAsia" w:ascii="仿宋_GB2312" w:hAnsi="仿宋_GB2312" w:eastAsia="仿宋_GB2312" w:cs="仿宋_GB2312"/>
          <w:bCs/>
          <w:snapToGrid w:val="0"/>
          <w:kern w:val="0"/>
          <w:sz w:val="28"/>
          <w:szCs w:val="28"/>
          <w:highlight w:val="none"/>
        </w:rPr>
        <w:t>区相关法律法规及规范性文件</w:t>
      </w:r>
      <w:bookmarkEnd w:id="466"/>
      <w:bookmarkStart w:id="468" w:name="_Hlk10017356"/>
      <w:r>
        <w:rPr>
          <w:rFonts w:hint="eastAsia" w:ascii="仿宋_GB2312" w:hAnsi="仿宋_GB2312" w:eastAsia="仿宋_GB2312" w:cs="仿宋_GB2312"/>
          <w:bCs/>
          <w:snapToGrid w:val="0"/>
          <w:kern w:val="0"/>
          <w:sz w:val="28"/>
          <w:szCs w:val="28"/>
          <w:highlight w:val="none"/>
        </w:rPr>
        <w:t>的要求实行劳务用工实名制、工资分账管理制度，相关规定之间不一致的，按最严格标准执行</w:t>
      </w:r>
      <w:bookmarkEnd w:id="468"/>
      <w:r>
        <w:rPr>
          <w:rFonts w:hint="eastAsia" w:ascii="仿宋_GB2312" w:hAnsi="仿宋_GB2312" w:eastAsia="仿宋_GB2312" w:cs="仿宋_GB2312"/>
          <w:bCs/>
          <w:snapToGrid w:val="0"/>
          <w:kern w:val="0"/>
          <w:sz w:val="28"/>
          <w:szCs w:val="28"/>
          <w:highlight w:val="none"/>
        </w:rPr>
        <w:t>。</w:t>
      </w:r>
      <w:bookmarkEnd w:id="467"/>
    </w:p>
    <w:p w14:paraId="0D4675B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具体要求：</w:t>
      </w:r>
    </w:p>
    <w:p w14:paraId="0827E50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6793EF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739E730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因承包人未能履行上述义务导致的损失由承包人负责，包括但不限于无法办理施工许可证等。</w:t>
      </w:r>
    </w:p>
    <w:p w14:paraId="62B6E09E">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承包人为履行本条项下义务而发生的费用由承包人承担。承包人并应保证分包人按照前述文件要求实行劳务用工实名制和工资分账管理制度。如因分包人未履行相关义务引发的责任由承包人承担。</w:t>
      </w:r>
    </w:p>
    <w:p w14:paraId="5971AA9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如上述援引的法规、政策等发生变化，应以最新公布的为准。</w:t>
      </w:r>
    </w:p>
    <w:p w14:paraId="0B09BB47">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469" w:name="_Toc492905237"/>
      <w:bookmarkStart w:id="470" w:name="_Toc302635977"/>
      <w:bookmarkStart w:id="471" w:name="_Toc31718"/>
      <w:bookmarkStart w:id="472" w:name="_Toc305331462"/>
      <w:r>
        <w:rPr>
          <w:rFonts w:hint="eastAsia" w:ascii="仿宋_GB2312" w:hAnsi="仿宋_GB2312" w:eastAsia="仿宋_GB2312" w:cs="仿宋_GB2312"/>
          <w:b/>
          <w:bCs w:val="0"/>
          <w:snapToGrid w:val="0"/>
          <w:kern w:val="0"/>
          <w:sz w:val="28"/>
          <w:szCs w:val="28"/>
          <w:highlight w:val="none"/>
        </w:rPr>
        <w:t>9 施工组织设计和进度计划</w:t>
      </w:r>
      <w:bookmarkEnd w:id="447"/>
      <w:bookmarkEnd w:id="469"/>
      <w:bookmarkEnd w:id="470"/>
      <w:bookmarkEnd w:id="471"/>
      <w:bookmarkEnd w:id="472"/>
    </w:p>
    <w:p w14:paraId="3C106D5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73" w:name="_Toc492905238"/>
      <w:bookmarkStart w:id="474" w:name="_Toc302635978"/>
      <w:bookmarkStart w:id="475" w:name="_Toc17107"/>
      <w:bookmarkStart w:id="476" w:name="_Toc305331463"/>
      <w:r>
        <w:rPr>
          <w:rFonts w:hint="eastAsia" w:ascii="仿宋_GB2312" w:hAnsi="仿宋_GB2312" w:eastAsia="仿宋_GB2312" w:cs="仿宋_GB2312"/>
          <w:b/>
          <w:sz w:val="28"/>
          <w:szCs w:val="28"/>
          <w:highlight w:val="none"/>
          <w:lang w:val="en-US" w:eastAsia="zh-CN"/>
        </w:rPr>
        <w:t>9.1 施工组织设计和进度计划的编制与提交</w:t>
      </w:r>
      <w:bookmarkEnd w:id="473"/>
      <w:bookmarkEnd w:id="474"/>
      <w:bookmarkEnd w:id="475"/>
      <w:bookmarkEnd w:id="476"/>
    </w:p>
    <w:p w14:paraId="3C5F0D5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(1)承包人应提供单项施工组织设计和工程进度计划的单项工程名称： </w:t>
      </w:r>
    </w:p>
    <w:p w14:paraId="472B98B7">
      <w:pPr>
        <w:pageBreakBefore w:val="0"/>
        <w:kinsoku/>
        <w:overflowPunct/>
        <w:topLinePunct w:val="0"/>
        <w:autoSpaceDE/>
        <w:autoSpaceDN/>
        <w:bidi w:val="0"/>
        <w:adjustRightInd w:val="0"/>
        <w:snapToGrid w:val="0"/>
        <w:spacing w:line="560" w:lineRule="exact"/>
        <w:ind w:left="0" w:leftChars="0" w:right="0" w:rightChars="0" w:hanging="2"/>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u w:val="single"/>
        </w:rPr>
        <w:t xml:space="preserve">                                                             </w:t>
      </w:r>
    </w:p>
    <w:p w14:paraId="6F834C79">
      <w:pPr>
        <w:pageBreakBefore w:val="0"/>
        <w:kinsoku/>
        <w:overflowPunct/>
        <w:topLinePunct w:val="0"/>
        <w:autoSpaceDE/>
        <w:autoSpaceDN/>
        <w:bidi w:val="0"/>
        <w:adjustRightInd w:val="0"/>
        <w:snapToGrid w:val="0"/>
        <w:spacing w:line="560" w:lineRule="exact"/>
        <w:ind w:left="0" w:leftChars="0" w:right="0" w:rightChars="0" w:hanging="2"/>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25E3DC22">
      <w:pPr>
        <w:pageBreakBefore w:val="0"/>
        <w:kinsoku/>
        <w:overflowPunct/>
        <w:topLinePunct w:val="0"/>
        <w:autoSpaceDE/>
        <w:autoSpaceDN/>
        <w:bidi w:val="0"/>
        <w:adjustRightInd w:val="0"/>
        <w:snapToGrid w:val="0"/>
        <w:spacing w:line="560" w:lineRule="exact"/>
        <w:ind w:left="0" w:leftChars="0" w:right="0" w:rightChars="0" w:firstLine="36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 (2)承包人提供施工组织设计和工程进度计划的时间和要求：</w:t>
      </w:r>
      <w:r>
        <w:rPr>
          <w:rFonts w:hint="eastAsia" w:ascii="仿宋_GB2312" w:hAnsi="仿宋_GB2312" w:eastAsia="仿宋_GB2312" w:cs="仿宋_GB2312"/>
          <w:bCs/>
          <w:snapToGrid w:val="0"/>
          <w:kern w:val="0"/>
          <w:sz w:val="28"/>
          <w:szCs w:val="28"/>
          <w:highlight w:val="none"/>
          <w:u w:val="single"/>
        </w:rPr>
        <w:t xml:space="preserve">        </w:t>
      </w:r>
    </w:p>
    <w:p w14:paraId="06BC17A1">
      <w:pPr>
        <w:pageBreakBefore w:val="0"/>
        <w:kinsoku/>
        <w:overflowPunct/>
        <w:topLinePunct w:val="0"/>
        <w:autoSpaceDE/>
        <w:autoSpaceDN/>
        <w:bidi w:val="0"/>
        <w:adjustRightInd w:val="0"/>
        <w:snapToGrid w:val="0"/>
        <w:spacing w:line="560" w:lineRule="exact"/>
        <w:ind w:left="0" w:leftChars="0" w:right="0" w:rightChars="0" w:hanging="2"/>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6659749">
      <w:pPr>
        <w:pageBreakBefore w:val="0"/>
        <w:kinsoku/>
        <w:overflowPunct/>
        <w:topLinePunct w:val="0"/>
        <w:autoSpaceDE/>
        <w:autoSpaceDN/>
        <w:bidi w:val="0"/>
        <w:adjustRightInd w:val="0"/>
        <w:snapToGrid w:val="0"/>
        <w:spacing w:line="560" w:lineRule="exact"/>
        <w:ind w:left="0" w:leftChars="0" w:right="0" w:rightChars="0" w:hanging="2"/>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D1F993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监理人确认的时间：</w:t>
      </w:r>
      <w:r>
        <w:rPr>
          <w:rFonts w:hint="eastAsia" w:ascii="仿宋_GB2312" w:hAnsi="仿宋_GB2312" w:eastAsia="仿宋_GB2312" w:cs="仿宋_GB2312"/>
          <w:bCs/>
          <w:snapToGrid w:val="0"/>
          <w:kern w:val="0"/>
          <w:sz w:val="28"/>
          <w:szCs w:val="28"/>
          <w:highlight w:val="none"/>
          <w:u w:val="single"/>
        </w:rPr>
        <w:t xml:space="preserve">                                             </w:t>
      </w:r>
    </w:p>
    <w:p w14:paraId="61559BE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3F5C8CE5">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承包人根据监理人的合理意见提交修改后的施工组织设计和工程进度计划的时间和要求：</w:t>
      </w:r>
      <w:r>
        <w:rPr>
          <w:rFonts w:hint="eastAsia" w:ascii="仿宋_GB2312" w:hAnsi="仿宋_GB2312" w:eastAsia="仿宋_GB2312" w:cs="仿宋_GB2312"/>
          <w:bCs/>
          <w:snapToGrid w:val="0"/>
          <w:kern w:val="0"/>
          <w:sz w:val="28"/>
          <w:szCs w:val="28"/>
          <w:highlight w:val="none"/>
          <w:u w:val="single"/>
        </w:rPr>
        <w:t xml:space="preserve">                                             </w:t>
      </w:r>
    </w:p>
    <w:p w14:paraId="57AF6D1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41D44E3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77" w:name="_Toc302635979"/>
      <w:bookmarkStart w:id="478" w:name="_Toc10412"/>
      <w:bookmarkStart w:id="479" w:name="_Toc305331464"/>
      <w:bookmarkStart w:id="480" w:name="_Toc492905239"/>
      <w:r>
        <w:rPr>
          <w:rFonts w:hint="eastAsia" w:ascii="仿宋_GB2312" w:hAnsi="仿宋_GB2312" w:eastAsia="仿宋_GB2312" w:cs="仿宋_GB2312"/>
          <w:b/>
          <w:sz w:val="28"/>
          <w:szCs w:val="28"/>
          <w:highlight w:val="none"/>
          <w:lang w:val="en-US" w:eastAsia="zh-CN"/>
        </w:rPr>
        <w:t>9.4 工程用款计划</w:t>
      </w:r>
      <w:bookmarkEnd w:id="477"/>
      <w:bookmarkEnd w:id="478"/>
      <w:bookmarkEnd w:id="479"/>
      <w:bookmarkEnd w:id="480"/>
    </w:p>
    <w:p w14:paraId="3DBE7836">
      <w:pPr>
        <w:pageBreakBefore w:val="0"/>
        <w:kinsoku/>
        <w:overflowPunct/>
        <w:topLinePunct w:val="0"/>
        <w:autoSpaceDE/>
        <w:autoSpaceDN/>
        <w:bidi w:val="0"/>
        <w:adjustRightInd w:val="0"/>
        <w:snapToGrid w:val="0"/>
        <w:spacing w:line="560" w:lineRule="exact"/>
        <w:ind w:left="0" w:leftChars="0" w:right="0" w:rightChars="0" w:firstLine="44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承包人提交工程用款计划的要求：</w:t>
      </w:r>
      <w:r>
        <w:rPr>
          <w:rFonts w:hint="eastAsia" w:ascii="仿宋_GB2312" w:hAnsi="仿宋_GB2312" w:eastAsia="仿宋_GB2312" w:cs="仿宋_GB2312"/>
          <w:bCs/>
          <w:snapToGrid w:val="0"/>
          <w:kern w:val="0"/>
          <w:sz w:val="28"/>
          <w:szCs w:val="28"/>
          <w:highlight w:val="none"/>
          <w:u w:val="single"/>
        </w:rPr>
        <w:t xml:space="preserve">                                           </w:t>
      </w:r>
    </w:p>
    <w:p w14:paraId="67D820F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bookmarkStart w:id="481" w:name="_Toc35656532"/>
      <w:r>
        <w:rPr>
          <w:rFonts w:hint="eastAsia" w:ascii="仿宋_GB2312" w:hAnsi="仿宋_GB2312" w:eastAsia="仿宋_GB2312" w:cs="仿宋_GB2312"/>
          <w:bCs/>
          <w:snapToGrid w:val="0"/>
          <w:kern w:val="0"/>
          <w:sz w:val="28"/>
          <w:szCs w:val="28"/>
          <w:highlight w:val="none"/>
          <w:u w:val="single"/>
        </w:rPr>
        <w:t xml:space="preserve">                                                                   </w:t>
      </w:r>
    </w:p>
    <w:p w14:paraId="154DE2C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89D0C3F">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482" w:name="_Toc492905240"/>
      <w:bookmarkStart w:id="483" w:name="_Toc302635980"/>
      <w:bookmarkStart w:id="484" w:name="_Toc6839"/>
      <w:bookmarkStart w:id="485" w:name="_Toc305331465"/>
      <w:r>
        <w:rPr>
          <w:rFonts w:hint="eastAsia" w:ascii="仿宋_GB2312" w:hAnsi="仿宋_GB2312" w:eastAsia="仿宋_GB2312" w:cs="仿宋_GB2312"/>
          <w:b/>
          <w:bCs w:val="0"/>
          <w:snapToGrid w:val="0"/>
          <w:kern w:val="0"/>
          <w:sz w:val="28"/>
          <w:szCs w:val="28"/>
          <w:highlight w:val="none"/>
        </w:rPr>
        <w:t>10 施工准备</w:t>
      </w:r>
      <w:bookmarkEnd w:id="481"/>
      <w:bookmarkEnd w:id="482"/>
      <w:bookmarkEnd w:id="483"/>
      <w:bookmarkEnd w:id="484"/>
      <w:bookmarkEnd w:id="485"/>
    </w:p>
    <w:p w14:paraId="3A16E05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86" w:name="_Toc305331466"/>
      <w:bookmarkStart w:id="487" w:name="_Toc8067"/>
      <w:bookmarkStart w:id="488" w:name="_Toc302635981"/>
      <w:bookmarkStart w:id="489" w:name="_Toc492905241"/>
      <w:r>
        <w:rPr>
          <w:rFonts w:hint="eastAsia" w:ascii="仿宋_GB2312" w:hAnsi="仿宋_GB2312" w:eastAsia="仿宋_GB2312" w:cs="仿宋_GB2312"/>
          <w:b/>
          <w:sz w:val="28"/>
          <w:szCs w:val="28"/>
          <w:highlight w:val="none"/>
          <w:lang w:val="en-US" w:eastAsia="zh-CN"/>
        </w:rPr>
        <w:t>10.2 施工场地提供</w:t>
      </w:r>
      <w:bookmarkEnd w:id="486"/>
      <w:bookmarkEnd w:id="487"/>
      <w:bookmarkEnd w:id="488"/>
      <w:bookmarkEnd w:id="489"/>
    </w:p>
    <w:p w14:paraId="02DACCD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(1)发包人提供给承包人的工地范围、时间及次序约定：</w:t>
      </w:r>
      <w:r>
        <w:rPr>
          <w:rFonts w:hint="eastAsia" w:ascii="仿宋_GB2312" w:hAnsi="仿宋_GB2312" w:eastAsia="仿宋_GB2312" w:cs="仿宋_GB2312"/>
          <w:bCs/>
          <w:snapToGrid w:val="0"/>
          <w:kern w:val="0"/>
          <w:sz w:val="28"/>
          <w:szCs w:val="28"/>
          <w:highlight w:val="none"/>
          <w:u w:val="single"/>
        </w:rPr>
        <w:t xml:space="preserve">              </w:t>
      </w:r>
    </w:p>
    <w:p w14:paraId="316EA68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E7E00A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DDE9190">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 (3)红线外临时占地租用费用承担约定：</w:t>
      </w:r>
      <w:r>
        <w:rPr>
          <w:rFonts w:hint="eastAsia" w:ascii="仿宋_GB2312" w:hAnsi="仿宋_GB2312" w:eastAsia="仿宋_GB2312" w:cs="仿宋_GB2312"/>
          <w:bCs/>
          <w:snapToGrid w:val="0"/>
          <w:kern w:val="0"/>
          <w:sz w:val="28"/>
          <w:szCs w:val="28"/>
          <w:highlight w:val="none"/>
          <w:u w:val="single"/>
        </w:rPr>
        <w:t xml:space="preserve">                        </w:t>
      </w:r>
    </w:p>
    <w:p w14:paraId="3E4412B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A7FC07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ADB947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90" w:name="_Toc305331467"/>
      <w:bookmarkStart w:id="491" w:name="_Toc28482"/>
      <w:bookmarkStart w:id="492" w:name="_Toc492905242"/>
      <w:bookmarkStart w:id="493" w:name="_Toc302635982"/>
      <w:r>
        <w:rPr>
          <w:rFonts w:hint="eastAsia" w:ascii="仿宋_GB2312" w:hAnsi="仿宋_GB2312" w:eastAsia="仿宋_GB2312" w:cs="仿宋_GB2312"/>
          <w:b/>
          <w:sz w:val="28"/>
          <w:szCs w:val="28"/>
          <w:highlight w:val="none"/>
          <w:lang w:val="en-US" w:eastAsia="zh-CN"/>
        </w:rPr>
        <w:t>10.6 不利的外界障碍或条件</w:t>
      </w:r>
      <w:bookmarkEnd w:id="490"/>
      <w:bookmarkEnd w:id="491"/>
      <w:bookmarkEnd w:id="492"/>
      <w:bookmarkEnd w:id="493"/>
    </w:p>
    <w:p w14:paraId="17A577B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(1)不利的外界障碍或条件的费用承担方式为：</w:t>
      </w:r>
      <w:r>
        <w:rPr>
          <w:rFonts w:hint="eastAsia" w:ascii="仿宋_GB2312" w:hAnsi="仿宋_GB2312" w:eastAsia="仿宋_GB2312" w:cs="仿宋_GB2312"/>
          <w:bCs/>
          <w:snapToGrid w:val="0"/>
          <w:kern w:val="0"/>
          <w:sz w:val="28"/>
          <w:szCs w:val="28"/>
          <w:highlight w:val="none"/>
          <w:u w:val="single"/>
        </w:rPr>
        <w:t xml:space="preserve">             </w:t>
      </w:r>
    </w:p>
    <w:p w14:paraId="0C9F46F5">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(3)本合同可能产生的不利的外界障碍或条件为：</w:t>
      </w:r>
    </w:p>
    <w:p w14:paraId="4D7AC2CA">
      <w:pPr>
        <w:pageBreakBefore w:val="0"/>
        <w:kinsoku/>
        <w:overflowPunct/>
        <w:topLinePunct w:val="0"/>
        <w:autoSpaceDE/>
        <w:autoSpaceDN/>
        <w:bidi w:val="0"/>
        <w:adjustRightInd w:val="0"/>
        <w:snapToGrid w:val="0"/>
        <w:spacing w:line="560" w:lineRule="exact"/>
        <w:ind w:left="0" w:leftChars="0" w:right="0" w:rightChars="0" w:firstLine="60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施工现场地形、地质的改变；</w:t>
      </w:r>
    </w:p>
    <w:p w14:paraId="7FE9C10A">
      <w:pPr>
        <w:pageBreakBefore w:val="0"/>
        <w:kinsoku/>
        <w:overflowPunct/>
        <w:topLinePunct w:val="0"/>
        <w:autoSpaceDE/>
        <w:autoSpaceDN/>
        <w:bidi w:val="0"/>
        <w:adjustRightInd w:val="0"/>
        <w:snapToGrid w:val="0"/>
        <w:spacing w:line="560" w:lineRule="exact"/>
        <w:ind w:left="0" w:leftChars="0" w:right="0" w:rightChars="0" w:firstLine="60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政府政策性停工；</w:t>
      </w:r>
    </w:p>
    <w:p w14:paraId="65179A02">
      <w:pPr>
        <w:pageBreakBefore w:val="0"/>
        <w:kinsoku/>
        <w:overflowPunct/>
        <w:topLinePunct w:val="0"/>
        <w:autoSpaceDE/>
        <w:autoSpaceDN/>
        <w:bidi w:val="0"/>
        <w:adjustRightInd w:val="0"/>
        <w:snapToGrid w:val="0"/>
        <w:spacing w:line="560" w:lineRule="exact"/>
        <w:ind w:left="0" w:leftChars="0" w:right="0" w:rightChars="0" w:firstLine="60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其他：</w:t>
      </w:r>
      <w:r>
        <w:rPr>
          <w:rFonts w:hint="eastAsia" w:ascii="仿宋_GB2312" w:hAnsi="仿宋_GB2312" w:eastAsia="仿宋_GB2312" w:cs="仿宋_GB2312"/>
          <w:bCs/>
          <w:snapToGrid w:val="0"/>
          <w:kern w:val="0"/>
          <w:sz w:val="28"/>
          <w:szCs w:val="28"/>
          <w:highlight w:val="none"/>
          <w:u w:val="single"/>
        </w:rPr>
        <w:t xml:space="preserve">                                                    </w:t>
      </w:r>
    </w:p>
    <w:p w14:paraId="79F96AC4">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494" w:name="_Toc22733"/>
      <w:bookmarkStart w:id="495" w:name="_Toc492905243"/>
      <w:bookmarkStart w:id="496" w:name="_Toc302635983"/>
      <w:bookmarkStart w:id="497" w:name="_Toc305331468"/>
      <w:r>
        <w:rPr>
          <w:rFonts w:hint="eastAsia" w:ascii="仿宋_GB2312" w:hAnsi="仿宋_GB2312" w:eastAsia="仿宋_GB2312" w:cs="仿宋_GB2312"/>
          <w:b/>
          <w:bCs w:val="0"/>
          <w:snapToGrid w:val="0"/>
          <w:kern w:val="0"/>
          <w:sz w:val="28"/>
          <w:szCs w:val="28"/>
          <w:highlight w:val="none"/>
        </w:rPr>
        <w:t>12 暂停施工和恢复施工</w:t>
      </w:r>
      <w:bookmarkEnd w:id="494"/>
      <w:bookmarkEnd w:id="495"/>
    </w:p>
    <w:p w14:paraId="58AD381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498" w:name="_Toc492905244"/>
      <w:bookmarkStart w:id="499" w:name="_Toc30790"/>
      <w:r>
        <w:rPr>
          <w:rFonts w:hint="eastAsia" w:ascii="仿宋_GB2312" w:hAnsi="仿宋_GB2312" w:eastAsia="仿宋_GB2312" w:cs="仿宋_GB2312"/>
          <w:b/>
          <w:sz w:val="28"/>
          <w:szCs w:val="28"/>
          <w:highlight w:val="none"/>
          <w:lang w:val="en-US" w:eastAsia="zh-CN"/>
        </w:rPr>
        <w:t>12.2 承包人原因引起的暂停施工</w:t>
      </w:r>
      <w:bookmarkEnd w:id="498"/>
      <w:bookmarkEnd w:id="499"/>
    </w:p>
    <w:p w14:paraId="1B556E0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因承包人原因引起的暂停施工，承包人在收到监理人复工指示后复工的期限为：</w:t>
      </w:r>
      <w:r>
        <w:rPr>
          <w:rFonts w:hint="eastAsia" w:ascii="仿宋_GB2312" w:hAnsi="仿宋_GB2312" w:eastAsia="仿宋_GB2312" w:cs="仿宋_GB2312"/>
          <w:bCs/>
          <w:snapToGrid w:val="0"/>
          <w:kern w:val="0"/>
          <w:sz w:val="28"/>
          <w:szCs w:val="28"/>
          <w:highlight w:val="none"/>
          <w:u w:val="single"/>
        </w:rPr>
        <w:t xml:space="preserve">                                                       </w:t>
      </w:r>
    </w:p>
    <w:p w14:paraId="00E90DC7">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500" w:name="_Toc4666"/>
      <w:bookmarkStart w:id="501" w:name="_Toc492905245"/>
      <w:r>
        <w:rPr>
          <w:rFonts w:hint="eastAsia" w:ascii="仿宋_GB2312" w:hAnsi="仿宋_GB2312" w:eastAsia="仿宋_GB2312" w:cs="仿宋_GB2312"/>
          <w:b/>
          <w:bCs w:val="0"/>
          <w:snapToGrid w:val="0"/>
          <w:kern w:val="0"/>
          <w:sz w:val="28"/>
          <w:szCs w:val="28"/>
          <w:highlight w:val="none"/>
        </w:rPr>
        <w:t>13 工期及延误</w:t>
      </w:r>
      <w:bookmarkEnd w:id="496"/>
      <w:bookmarkEnd w:id="497"/>
      <w:bookmarkEnd w:id="500"/>
      <w:bookmarkEnd w:id="501"/>
    </w:p>
    <w:p w14:paraId="7D1DF65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02" w:name="_Toc492905246"/>
      <w:bookmarkStart w:id="503" w:name="_Toc305331469"/>
      <w:bookmarkStart w:id="504" w:name="_Toc30005"/>
      <w:bookmarkStart w:id="505" w:name="_Toc302635984"/>
      <w:r>
        <w:rPr>
          <w:rFonts w:hint="eastAsia" w:ascii="仿宋_GB2312" w:hAnsi="仿宋_GB2312" w:eastAsia="仿宋_GB2312" w:cs="仿宋_GB2312"/>
          <w:b/>
          <w:sz w:val="28"/>
          <w:szCs w:val="28"/>
          <w:highlight w:val="none"/>
          <w:lang w:val="en-US" w:eastAsia="zh-CN"/>
        </w:rPr>
        <w:t>13.1 工期</w:t>
      </w:r>
      <w:bookmarkEnd w:id="502"/>
      <w:bookmarkEnd w:id="503"/>
      <w:bookmarkEnd w:id="504"/>
      <w:bookmarkEnd w:id="505"/>
    </w:p>
    <w:p w14:paraId="3B8AB80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本工程单项工程的工期约定：</w:t>
      </w:r>
    </w:p>
    <w:tbl>
      <w:tblPr>
        <w:tblStyle w:val="45"/>
        <w:tblW w:w="841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4"/>
        <w:gridCol w:w="2297"/>
        <w:gridCol w:w="2239"/>
        <w:gridCol w:w="1181"/>
      </w:tblGrid>
      <w:tr w14:paraId="147D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shd w:val="clear" w:color="auto" w:fill="auto"/>
            <w:vAlign w:val="center"/>
          </w:tcPr>
          <w:p w14:paraId="614D9B62">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序号</w:t>
            </w:r>
          </w:p>
        </w:tc>
        <w:tc>
          <w:tcPr>
            <w:tcW w:w="1984" w:type="dxa"/>
            <w:shd w:val="clear" w:color="auto" w:fill="auto"/>
            <w:vAlign w:val="center"/>
          </w:tcPr>
          <w:p w14:paraId="0CE0165B">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单项工程名称</w:t>
            </w:r>
          </w:p>
        </w:tc>
        <w:tc>
          <w:tcPr>
            <w:tcW w:w="2297" w:type="dxa"/>
            <w:shd w:val="clear" w:color="auto" w:fill="auto"/>
            <w:vAlign w:val="center"/>
          </w:tcPr>
          <w:p w14:paraId="72B6041C">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开工日期</w:t>
            </w:r>
          </w:p>
        </w:tc>
        <w:tc>
          <w:tcPr>
            <w:tcW w:w="2239" w:type="dxa"/>
            <w:shd w:val="clear" w:color="auto" w:fill="auto"/>
            <w:vAlign w:val="center"/>
          </w:tcPr>
          <w:p w14:paraId="3DD1429A">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竣工日期</w:t>
            </w:r>
          </w:p>
        </w:tc>
        <w:tc>
          <w:tcPr>
            <w:tcW w:w="1181" w:type="dxa"/>
            <w:shd w:val="clear" w:color="auto" w:fill="auto"/>
            <w:vAlign w:val="center"/>
          </w:tcPr>
          <w:p w14:paraId="381D099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工期</w:t>
            </w:r>
          </w:p>
          <w:p w14:paraId="3B298AF1">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(日历天)</w:t>
            </w:r>
          </w:p>
        </w:tc>
      </w:tr>
      <w:tr w14:paraId="1DE6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shd w:val="clear" w:color="auto" w:fill="auto"/>
            <w:vAlign w:val="center"/>
          </w:tcPr>
          <w:p w14:paraId="0909D6E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w:t>
            </w:r>
          </w:p>
        </w:tc>
        <w:tc>
          <w:tcPr>
            <w:tcW w:w="1984" w:type="dxa"/>
            <w:shd w:val="clear" w:color="auto" w:fill="auto"/>
            <w:vAlign w:val="bottom"/>
          </w:tcPr>
          <w:p w14:paraId="6D1C8B0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97" w:type="dxa"/>
            <w:shd w:val="clear" w:color="auto" w:fill="auto"/>
            <w:vAlign w:val="bottom"/>
          </w:tcPr>
          <w:p w14:paraId="28263A9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39" w:type="dxa"/>
            <w:shd w:val="clear" w:color="auto" w:fill="auto"/>
            <w:vAlign w:val="bottom"/>
          </w:tcPr>
          <w:p w14:paraId="669CC54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1181" w:type="dxa"/>
            <w:shd w:val="clear" w:color="auto" w:fill="auto"/>
            <w:vAlign w:val="bottom"/>
          </w:tcPr>
          <w:p w14:paraId="4AA85E6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E8C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shd w:val="clear" w:color="auto" w:fill="auto"/>
            <w:vAlign w:val="center"/>
          </w:tcPr>
          <w:p w14:paraId="78B16961">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w:t>
            </w:r>
          </w:p>
        </w:tc>
        <w:tc>
          <w:tcPr>
            <w:tcW w:w="1984" w:type="dxa"/>
            <w:shd w:val="clear" w:color="auto" w:fill="auto"/>
            <w:vAlign w:val="bottom"/>
          </w:tcPr>
          <w:p w14:paraId="2A001D6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97" w:type="dxa"/>
            <w:shd w:val="clear" w:color="auto" w:fill="auto"/>
            <w:vAlign w:val="bottom"/>
          </w:tcPr>
          <w:p w14:paraId="6196163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39" w:type="dxa"/>
            <w:shd w:val="clear" w:color="auto" w:fill="auto"/>
            <w:vAlign w:val="bottom"/>
          </w:tcPr>
          <w:p w14:paraId="7497D24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1181" w:type="dxa"/>
            <w:shd w:val="clear" w:color="auto" w:fill="auto"/>
            <w:vAlign w:val="bottom"/>
          </w:tcPr>
          <w:p w14:paraId="75133CD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406E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shd w:val="clear" w:color="auto" w:fill="auto"/>
            <w:vAlign w:val="center"/>
          </w:tcPr>
          <w:p w14:paraId="5C2C73A5">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w:t>
            </w:r>
          </w:p>
        </w:tc>
        <w:tc>
          <w:tcPr>
            <w:tcW w:w="1984" w:type="dxa"/>
            <w:shd w:val="clear" w:color="auto" w:fill="auto"/>
            <w:vAlign w:val="bottom"/>
          </w:tcPr>
          <w:p w14:paraId="480FD16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97" w:type="dxa"/>
            <w:shd w:val="clear" w:color="auto" w:fill="auto"/>
            <w:vAlign w:val="bottom"/>
          </w:tcPr>
          <w:p w14:paraId="32723D7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39" w:type="dxa"/>
            <w:shd w:val="clear" w:color="auto" w:fill="auto"/>
            <w:vAlign w:val="bottom"/>
          </w:tcPr>
          <w:p w14:paraId="4A929CB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1181" w:type="dxa"/>
            <w:shd w:val="clear" w:color="auto" w:fill="auto"/>
            <w:vAlign w:val="bottom"/>
          </w:tcPr>
          <w:p w14:paraId="7EDEF94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6947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shd w:val="clear" w:color="auto" w:fill="auto"/>
            <w:vAlign w:val="center"/>
          </w:tcPr>
          <w:p w14:paraId="6CA0DCD4">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w:t>
            </w:r>
          </w:p>
        </w:tc>
        <w:tc>
          <w:tcPr>
            <w:tcW w:w="1984" w:type="dxa"/>
            <w:shd w:val="clear" w:color="auto" w:fill="auto"/>
            <w:vAlign w:val="bottom"/>
          </w:tcPr>
          <w:p w14:paraId="7635176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97" w:type="dxa"/>
            <w:shd w:val="clear" w:color="auto" w:fill="auto"/>
            <w:vAlign w:val="bottom"/>
          </w:tcPr>
          <w:p w14:paraId="3399FF7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39" w:type="dxa"/>
            <w:shd w:val="clear" w:color="auto" w:fill="auto"/>
            <w:vAlign w:val="bottom"/>
          </w:tcPr>
          <w:p w14:paraId="2FB7B7C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1181" w:type="dxa"/>
            <w:shd w:val="clear" w:color="auto" w:fill="auto"/>
            <w:vAlign w:val="bottom"/>
          </w:tcPr>
          <w:p w14:paraId="2A501F4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6B14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shd w:val="clear" w:color="auto" w:fill="auto"/>
            <w:vAlign w:val="center"/>
          </w:tcPr>
          <w:p w14:paraId="6C39DB21">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w:t>
            </w:r>
          </w:p>
        </w:tc>
        <w:tc>
          <w:tcPr>
            <w:tcW w:w="1984" w:type="dxa"/>
            <w:shd w:val="clear" w:color="auto" w:fill="auto"/>
            <w:vAlign w:val="bottom"/>
          </w:tcPr>
          <w:p w14:paraId="3913502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97" w:type="dxa"/>
            <w:shd w:val="clear" w:color="auto" w:fill="auto"/>
            <w:vAlign w:val="bottom"/>
          </w:tcPr>
          <w:p w14:paraId="214DE5B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39" w:type="dxa"/>
            <w:shd w:val="clear" w:color="auto" w:fill="auto"/>
            <w:vAlign w:val="center"/>
          </w:tcPr>
          <w:p w14:paraId="7F88505A">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c>
          <w:tcPr>
            <w:tcW w:w="1181" w:type="dxa"/>
            <w:shd w:val="clear" w:color="auto" w:fill="auto"/>
            <w:vAlign w:val="center"/>
          </w:tcPr>
          <w:p w14:paraId="3D45FE6F">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p>
        </w:tc>
      </w:tr>
    </w:tbl>
    <w:p w14:paraId="4A38CD7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06" w:name="_Toc11247"/>
      <w:bookmarkStart w:id="507" w:name="_Toc492905247"/>
      <w:bookmarkStart w:id="508" w:name="_Toc302635985"/>
      <w:bookmarkStart w:id="509" w:name="_Toc305331470"/>
      <w:r>
        <w:rPr>
          <w:rFonts w:hint="eastAsia" w:ascii="仿宋_GB2312" w:hAnsi="仿宋_GB2312" w:eastAsia="仿宋_GB2312" w:cs="仿宋_GB2312"/>
          <w:b/>
          <w:sz w:val="28"/>
          <w:szCs w:val="28"/>
          <w:highlight w:val="none"/>
          <w:lang w:val="en-US" w:eastAsia="zh-CN"/>
        </w:rPr>
        <w:t>13.2 因发包人原因导致工期延误</w:t>
      </w:r>
      <w:bookmarkEnd w:id="506"/>
      <w:bookmarkEnd w:id="507"/>
      <w:bookmarkEnd w:id="508"/>
    </w:p>
    <w:p w14:paraId="3EDFF77C">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(7)因发包人原因导致工期延误的其他情形：</w:t>
      </w:r>
      <w:r>
        <w:rPr>
          <w:rFonts w:hint="eastAsia" w:ascii="仿宋_GB2312" w:hAnsi="仿宋_GB2312" w:eastAsia="仿宋_GB2312" w:cs="仿宋_GB2312"/>
          <w:bCs/>
          <w:snapToGrid w:val="0"/>
          <w:kern w:val="0"/>
          <w:sz w:val="28"/>
          <w:szCs w:val="28"/>
          <w:highlight w:val="none"/>
          <w:u w:val="single"/>
        </w:rPr>
        <w:t xml:space="preserve">                    </w:t>
      </w:r>
    </w:p>
    <w:p w14:paraId="707BB48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10" w:name="_Toc21039"/>
      <w:bookmarkStart w:id="511" w:name="_Toc492905248"/>
      <w:r>
        <w:rPr>
          <w:rFonts w:hint="eastAsia" w:ascii="仿宋_GB2312" w:hAnsi="仿宋_GB2312" w:eastAsia="仿宋_GB2312" w:cs="仿宋_GB2312"/>
          <w:b/>
          <w:sz w:val="28"/>
          <w:szCs w:val="28"/>
          <w:highlight w:val="none"/>
          <w:lang w:val="en-US" w:eastAsia="zh-CN"/>
        </w:rPr>
        <w:t>13.3 因承包人原因导致工期延误</w:t>
      </w:r>
      <w:bookmarkEnd w:id="510"/>
      <w:bookmarkEnd w:id="511"/>
    </w:p>
    <w:p w14:paraId="228D890D">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逾期竣工违约金计算方法：</w:t>
      </w:r>
      <w:r>
        <w:rPr>
          <w:rFonts w:hint="eastAsia" w:ascii="仿宋_GB2312" w:hAnsi="仿宋_GB2312" w:eastAsia="仿宋_GB2312" w:cs="仿宋_GB2312"/>
          <w:bCs/>
          <w:snapToGrid w:val="0"/>
          <w:kern w:val="0"/>
          <w:sz w:val="28"/>
          <w:szCs w:val="28"/>
          <w:highlight w:val="none"/>
          <w:u w:val="single"/>
        </w:rPr>
        <w:t xml:space="preserve">                                     </w:t>
      </w:r>
    </w:p>
    <w:p w14:paraId="5D15B35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single"/>
        </w:rPr>
      </w:pPr>
      <w:bookmarkStart w:id="512" w:name="_Toc302635986"/>
      <w:r>
        <w:rPr>
          <w:rFonts w:hint="eastAsia" w:ascii="仿宋_GB2312" w:hAnsi="仿宋_GB2312" w:eastAsia="仿宋_GB2312" w:cs="仿宋_GB2312"/>
          <w:bCs/>
          <w:snapToGrid w:val="0"/>
          <w:kern w:val="0"/>
          <w:sz w:val="28"/>
          <w:szCs w:val="28"/>
          <w:highlight w:val="none"/>
        </w:rPr>
        <w:t>逾期竣工违约金的上限：</w:t>
      </w:r>
      <w:r>
        <w:rPr>
          <w:rFonts w:hint="eastAsia" w:ascii="仿宋_GB2312" w:hAnsi="仿宋_GB2312" w:eastAsia="仿宋_GB2312" w:cs="仿宋_GB2312"/>
          <w:bCs/>
          <w:snapToGrid w:val="0"/>
          <w:kern w:val="0"/>
          <w:sz w:val="28"/>
          <w:szCs w:val="28"/>
          <w:highlight w:val="none"/>
          <w:u w:val="single"/>
        </w:rPr>
        <w:t xml:space="preserve">                                     </w:t>
      </w:r>
    </w:p>
    <w:p w14:paraId="49A8BED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200" w:firstLineChars="0"/>
        <w:jc w:val="left"/>
        <w:textAlignment w:val="auto"/>
        <w:outlineLvl w:val="2"/>
        <w:rPr>
          <w:rFonts w:hint="eastAsia" w:ascii="仿宋_GB2312" w:hAnsi="仿宋_GB2312" w:eastAsia="仿宋_GB2312" w:cs="仿宋_GB2312"/>
          <w:b/>
          <w:kern w:val="2"/>
          <w:sz w:val="28"/>
          <w:szCs w:val="28"/>
          <w:highlight w:val="none"/>
        </w:rPr>
      </w:pPr>
      <w:bookmarkStart w:id="513" w:name="_Toc982"/>
      <w:r>
        <w:rPr>
          <w:rFonts w:hint="eastAsia" w:ascii="仿宋_GB2312" w:hAnsi="仿宋_GB2312" w:eastAsia="仿宋_GB2312" w:cs="仿宋_GB2312"/>
          <w:b/>
          <w:kern w:val="2"/>
          <w:sz w:val="28"/>
          <w:szCs w:val="28"/>
          <w:highlight w:val="none"/>
        </w:rPr>
        <w:t>13.4 提前竣工</w:t>
      </w:r>
      <w:bookmarkEnd w:id="513"/>
    </w:p>
    <w:p w14:paraId="3D36E8C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none"/>
        </w:rPr>
      </w:pPr>
      <w:r>
        <w:rPr>
          <w:rFonts w:hint="eastAsia" w:ascii="仿宋_GB2312" w:hAnsi="仿宋_GB2312" w:eastAsia="仿宋_GB2312" w:cs="仿宋_GB2312"/>
          <w:bCs/>
          <w:snapToGrid w:val="0"/>
          <w:kern w:val="0"/>
          <w:sz w:val="28"/>
          <w:szCs w:val="28"/>
          <w:highlight w:val="none"/>
          <w:u w:val="none"/>
        </w:rPr>
        <w:t>(3)提前竣工奖励费及限额约定：承包人每提前一天竣工奖励</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none"/>
        </w:rPr>
        <w:t>；奖励总额不超过签约合同价的</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none"/>
        </w:rPr>
        <w:t>(建议10%)。</w:t>
      </w:r>
    </w:p>
    <w:p w14:paraId="076B780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none"/>
        </w:rPr>
        <w:t>(4)《深圳市建设工程施工工期定额》缺项的专业工程压缩工期补偿费用计算方法：</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snapToGrid w:val="0"/>
          <w:kern w:val="0"/>
          <w:sz w:val="28"/>
          <w:szCs w:val="28"/>
          <w:highlight w:val="none"/>
          <w:u w:val="none"/>
        </w:rPr>
        <w:t xml:space="preserve">                             </w:t>
      </w:r>
    </w:p>
    <w:p w14:paraId="1A522C4C">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default" w:ascii="仿宋_GB2312" w:hAnsi="仿宋_GB2312" w:eastAsia="仿宋_GB2312" w:cs="仿宋_GB2312"/>
          <w:bCs/>
          <w:snapToGrid w:val="0"/>
          <w:kern w:val="0"/>
          <w:sz w:val="28"/>
          <w:szCs w:val="28"/>
          <w:highlight w:val="none"/>
          <w:u w:val="none"/>
          <w:lang w:val="en-US"/>
        </w:rPr>
      </w:pPr>
      <w:r>
        <w:rPr>
          <w:rFonts w:hint="eastAsia" w:ascii="仿宋_GB2312" w:hAnsi="仿宋_GB2312" w:eastAsia="仿宋_GB2312" w:cs="仿宋_GB2312"/>
          <w:bCs/>
          <w:snapToGrid w:val="0"/>
          <w:kern w:val="0"/>
          <w:sz w:val="28"/>
          <w:szCs w:val="28"/>
          <w:highlight w:val="none"/>
          <w:u w:val="none"/>
        </w:rPr>
        <w:t>需采取特殊措施以缩短工期的专业工程及压缩工期补偿费用计算方法：</w:t>
      </w:r>
      <w:r>
        <w:rPr>
          <w:rFonts w:hint="default" w:ascii="仿宋_GB2312" w:hAnsi="仿宋_GB2312" w:eastAsia="仿宋_GB2312" w:cs="仿宋_GB2312"/>
          <w:bCs/>
          <w:snapToGrid w:val="0"/>
          <w:kern w:val="0"/>
          <w:sz w:val="28"/>
          <w:szCs w:val="28"/>
          <w:highlight w:val="none"/>
          <w:u w:val="single"/>
          <w:lang w:val="en-US"/>
        </w:rPr>
        <w:t xml:space="preserve">                        </w:t>
      </w:r>
      <w:r>
        <w:rPr>
          <w:rFonts w:hint="eastAsia" w:ascii="仿宋_GB2312" w:hAnsi="仿宋_GB2312" w:eastAsia="仿宋_GB2312" w:cs="仿宋_GB2312"/>
          <w:bCs/>
          <w:i/>
          <w:iCs/>
          <w:snapToGrid w:val="0"/>
          <w:kern w:val="0"/>
          <w:sz w:val="28"/>
          <w:szCs w:val="28"/>
          <w:highlight w:val="none"/>
          <w:u w:val="none"/>
        </w:rPr>
        <w:t xml:space="preserve">   </w:t>
      </w:r>
      <w:bookmarkEnd w:id="509"/>
      <w:bookmarkEnd w:id="512"/>
      <w:bookmarkStart w:id="514" w:name="_Toc305331471"/>
      <w:bookmarkStart w:id="515" w:name="_Toc302635987"/>
      <w:r>
        <w:rPr>
          <w:rFonts w:hint="eastAsia" w:ascii="仿宋_GB2312" w:hAnsi="仿宋_GB2312" w:eastAsia="仿宋_GB2312" w:cs="仿宋_GB2312"/>
          <w:bCs/>
          <w:i/>
          <w:iCs/>
          <w:snapToGrid w:val="0"/>
          <w:kern w:val="0"/>
          <w:sz w:val="28"/>
          <w:szCs w:val="28"/>
          <w:highlight w:val="none"/>
          <w:u w:val="none"/>
        </w:rPr>
        <w:t xml:space="preserve"> </w:t>
      </w:r>
      <w:r>
        <w:rPr>
          <w:rFonts w:hint="default" w:ascii="仿宋_GB2312" w:hAnsi="仿宋_GB2312" w:eastAsia="仿宋_GB2312" w:cs="仿宋_GB2312"/>
          <w:bCs/>
          <w:i/>
          <w:iCs/>
          <w:snapToGrid w:val="0"/>
          <w:kern w:val="0"/>
          <w:sz w:val="28"/>
          <w:szCs w:val="28"/>
          <w:highlight w:val="none"/>
          <w:u w:val="none"/>
          <w:lang w:val="en-US"/>
        </w:rPr>
        <w:t xml:space="preserve">                                   </w:t>
      </w:r>
    </w:p>
    <w:bookmarkEnd w:id="514"/>
    <w:bookmarkEnd w:id="515"/>
    <w:p w14:paraId="23D59B60">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516" w:name="_Toc302635989"/>
      <w:bookmarkStart w:id="517" w:name="_Toc492905250"/>
      <w:bookmarkStart w:id="518" w:name="_Toc305331472"/>
      <w:bookmarkStart w:id="519" w:name="_Toc13977"/>
      <w:r>
        <w:rPr>
          <w:rFonts w:hint="eastAsia" w:ascii="仿宋_GB2312" w:hAnsi="仿宋_GB2312" w:eastAsia="仿宋_GB2312" w:cs="仿宋_GB2312"/>
          <w:b/>
          <w:bCs w:val="0"/>
          <w:snapToGrid w:val="0"/>
          <w:kern w:val="0"/>
          <w:sz w:val="28"/>
          <w:szCs w:val="28"/>
          <w:highlight w:val="none"/>
        </w:rPr>
        <w:t>14 材料设备的供应和检测</w:t>
      </w:r>
      <w:bookmarkEnd w:id="516"/>
      <w:bookmarkEnd w:id="517"/>
      <w:bookmarkEnd w:id="518"/>
      <w:bookmarkEnd w:id="519"/>
    </w:p>
    <w:p w14:paraId="579E403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20" w:name="_Toc302635990"/>
      <w:bookmarkStart w:id="521" w:name="_Toc492905251"/>
      <w:bookmarkStart w:id="522" w:name="_Toc26716"/>
      <w:bookmarkStart w:id="523" w:name="_Toc305331473"/>
      <w:r>
        <w:rPr>
          <w:rFonts w:hint="eastAsia" w:ascii="仿宋_GB2312" w:hAnsi="仿宋_GB2312" w:eastAsia="仿宋_GB2312" w:cs="仿宋_GB2312"/>
          <w:b/>
          <w:sz w:val="28"/>
          <w:szCs w:val="28"/>
          <w:highlight w:val="none"/>
          <w:lang w:val="en-US" w:eastAsia="zh-CN"/>
        </w:rPr>
        <w:t>14.1 发包人供应材料设备</w:t>
      </w:r>
      <w:bookmarkEnd w:id="520"/>
      <w:bookmarkEnd w:id="521"/>
      <w:bookmarkEnd w:id="522"/>
      <w:bookmarkEnd w:id="523"/>
    </w:p>
    <w:p w14:paraId="7D0BFD4B">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(1)发包人供应材料设备清单：</w:t>
      </w:r>
    </w:p>
    <w:p w14:paraId="6E9B1F6C">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发包人供应材料设备清单</w:t>
      </w:r>
    </w:p>
    <w:tbl>
      <w:tblPr>
        <w:tblStyle w:val="45"/>
        <w:tblW w:w="8804" w:type="dxa"/>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06"/>
        <w:gridCol w:w="851"/>
        <w:gridCol w:w="1276"/>
        <w:gridCol w:w="850"/>
        <w:gridCol w:w="851"/>
        <w:gridCol w:w="850"/>
        <w:gridCol w:w="851"/>
        <w:gridCol w:w="850"/>
        <w:gridCol w:w="709"/>
      </w:tblGrid>
      <w:tr w14:paraId="33C3E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0" w:type="dxa"/>
            <w:vAlign w:val="center"/>
          </w:tcPr>
          <w:p w14:paraId="2B9D2F8E">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序</w:t>
            </w:r>
          </w:p>
          <w:p w14:paraId="13941200">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号</w:t>
            </w:r>
          </w:p>
        </w:tc>
        <w:tc>
          <w:tcPr>
            <w:tcW w:w="1206" w:type="dxa"/>
            <w:vAlign w:val="center"/>
          </w:tcPr>
          <w:p w14:paraId="0CC86849">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材料设备</w:t>
            </w:r>
          </w:p>
          <w:p w14:paraId="144E3319">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名称</w:t>
            </w:r>
          </w:p>
        </w:tc>
        <w:tc>
          <w:tcPr>
            <w:tcW w:w="851" w:type="dxa"/>
            <w:vAlign w:val="center"/>
          </w:tcPr>
          <w:p w14:paraId="2B22F308">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规格</w:t>
            </w:r>
          </w:p>
          <w:p w14:paraId="77D4E7C0">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型号</w:t>
            </w:r>
          </w:p>
        </w:tc>
        <w:tc>
          <w:tcPr>
            <w:tcW w:w="1276" w:type="dxa"/>
            <w:vAlign w:val="center"/>
          </w:tcPr>
          <w:p w14:paraId="114F53A0">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生产厂家</w:t>
            </w:r>
          </w:p>
        </w:tc>
        <w:tc>
          <w:tcPr>
            <w:tcW w:w="850" w:type="dxa"/>
            <w:vAlign w:val="center"/>
          </w:tcPr>
          <w:p w14:paraId="09E267B6">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单位</w:t>
            </w:r>
          </w:p>
        </w:tc>
        <w:tc>
          <w:tcPr>
            <w:tcW w:w="851" w:type="dxa"/>
            <w:vAlign w:val="center"/>
          </w:tcPr>
          <w:p w14:paraId="48763655">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数量</w:t>
            </w:r>
          </w:p>
        </w:tc>
        <w:tc>
          <w:tcPr>
            <w:tcW w:w="850" w:type="dxa"/>
            <w:vAlign w:val="center"/>
          </w:tcPr>
          <w:p w14:paraId="076BBF3C">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单价</w:t>
            </w:r>
          </w:p>
          <w:p w14:paraId="26924F70">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(元)</w:t>
            </w:r>
          </w:p>
        </w:tc>
        <w:tc>
          <w:tcPr>
            <w:tcW w:w="851" w:type="dxa"/>
            <w:vAlign w:val="center"/>
          </w:tcPr>
          <w:p w14:paraId="623F8A66">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总价</w:t>
            </w:r>
          </w:p>
          <w:p w14:paraId="0A8C5B1F">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(元)</w:t>
            </w:r>
          </w:p>
        </w:tc>
        <w:tc>
          <w:tcPr>
            <w:tcW w:w="850" w:type="dxa"/>
            <w:vAlign w:val="center"/>
          </w:tcPr>
          <w:p w14:paraId="70836C97">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质量</w:t>
            </w:r>
          </w:p>
          <w:p w14:paraId="076CF986">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等级</w:t>
            </w:r>
          </w:p>
        </w:tc>
        <w:tc>
          <w:tcPr>
            <w:tcW w:w="709" w:type="dxa"/>
            <w:vAlign w:val="center"/>
          </w:tcPr>
          <w:p w14:paraId="7178CD63">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时间</w:t>
            </w:r>
          </w:p>
          <w:p w14:paraId="63804129">
            <w:pPr>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地点</w:t>
            </w:r>
          </w:p>
        </w:tc>
      </w:tr>
      <w:tr w14:paraId="40F12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vAlign w:val="bottom"/>
          </w:tcPr>
          <w:p w14:paraId="5F4E6FB7">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06" w:type="dxa"/>
            <w:vAlign w:val="bottom"/>
          </w:tcPr>
          <w:p w14:paraId="6B6F3664">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2A1532F7">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76" w:type="dxa"/>
            <w:vAlign w:val="bottom"/>
          </w:tcPr>
          <w:p w14:paraId="10E9188A">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16E88447">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1E0CEB63">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09537E1F">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4495BE23">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2EF64FBC">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709" w:type="dxa"/>
            <w:vAlign w:val="bottom"/>
          </w:tcPr>
          <w:p w14:paraId="04533309">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r>
      <w:tr w14:paraId="333D0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vAlign w:val="bottom"/>
          </w:tcPr>
          <w:p w14:paraId="2135FF8A">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06" w:type="dxa"/>
            <w:vAlign w:val="bottom"/>
          </w:tcPr>
          <w:p w14:paraId="2B13B72B">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5DE24E29">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76" w:type="dxa"/>
            <w:vAlign w:val="bottom"/>
          </w:tcPr>
          <w:p w14:paraId="4957838F">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1ECC18A4">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2E9F8E29">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00BAA356">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6BA59202">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29C6C4FE">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709" w:type="dxa"/>
            <w:vAlign w:val="bottom"/>
          </w:tcPr>
          <w:p w14:paraId="7A3F0613">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r>
      <w:tr w14:paraId="3AAA5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vAlign w:val="bottom"/>
          </w:tcPr>
          <w:p w14:paraId="22272F29">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06" w:type="dxa"/>
            <w:vAlign w:val="bottom"/>
          </w:tcPr>
          <w:p w14:paraId="28C2D9B7">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1B596912">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76" w:type="dxa"/>
            <w:vAlign w:val="bottom"/>
          </w:tcPr>
          <w:p w14:paraId="632C7D13">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5126EA9E">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0D1D84EE">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2E36B886">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22DF233E">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67DC73ED">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709" w:type="dxa"/>
            <w:vAlign w:val="bottom"/>
          </w:tcPr>
          <w:p w14:paraId="0123EBE5">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r>
      <w:tr w14:paraId="02664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vAlign w:val="bottom"/>
          </w:tcPr>
          <w:p w14:paraId="11498D55">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06" w:type="dxa"/>
            <w:vAlign w:val="bottom"/>
          </w:tcPr>
          <w:p w14:paraId="5ED41731">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40E01E4F">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76" w:type="dxa"/>
            <w:vAlign w:val="bottom"/>
          </w:tcPr>
          <w:p w14:paraId="64A761B5">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74657F07">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0EDF2D39">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048A51E1">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74E74DB0">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08A04B45">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709" w:type="dxa"/>
            <w:vAlign w:val="bottom"/>
          </w:tcPr>
          <w:p w14:paraId="664634CD">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r>
      <w:tr w14:paraId="5CA25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vAlign w:val="bottom"/>
          </w:tcPr>
          <w:p w14:paraId="79B3676B">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06" w:type="dxa"/>
            <w:vAlign w:val="bottom"/>
          </w:tcPr>
          <w:p w14:paraId="679B43F0">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795F21AE">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76" w:type="dxa"/>
            <w:vAlign w:val="bottom"/>
          </w:tcPr>
          <w:p w14:paraId="7DE5ADEC">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4EDF4808">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140988A0">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6418A7E6">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33DDDABF">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14B78BEC">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709" w:type="dxa"/>
            <w:vAlign w:val="bottom"/>
          </w:tcPr>
          <w:p w14:paraId="0BDDF853">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r>
      <w:tr w14:paraId="5FB77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vAlign w:val="bottom"/>
          </w:tcPr>
          <w:p w14:paraId="5580B3B1">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06" w:type="dxa"/>
            <w:vAlign w:val="bottom"/>
          </w:tcPr>
          <w:p w14:paraId="21DE7AD7">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0BB1701C">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76" w:type="dxa"/>
            <w:vAlign w:val="bottom"/>
          </w:tcPr>
          <w:p w14:paraId="18C342EB">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1BBD0E37">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097F119B">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5975352E">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02418818">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07DCAD20">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709" w:type="dxa"/>
            <w:vAlign w:val="bottom"/>
          </w:tcPr>
          <w:p w14:paraId="60B2866E">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r>
      <w:tr w14:paraId="28C12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vAlign w:val="bottom"/>
          </w:tcPr>
          <w:p w14:paraId="1304BCCA">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06" w:type="dxa"/>
            <w:vAlign w:val="bottom"/>
          </w:tcPr>
          <w:p w14:paraId="182F0DCF">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48D7537C">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1276" w:type="dxa"/>
            <w:vAlign w:val="bottom"/>
          </w:tcPr>
          <w:p w14:paraId="7A2A8B70">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3E0915D3">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3D004420">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22FB41B0">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1" w:type="dxa"/>
            <w:vAlign w:val="bottom"/>
          </w:tcPr>
          <w:p w14:paraId="6A3CED75">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850" w:type="dxa"/>
            <w:vAlign w:val="bottom"/>
          </w:tcPr>
          <w:p w14:paraId="50CFC60C">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c>
          <w:tcPr>
            <w:tcW w:w="709" w:type="dxa"/>
            <w:vAlign w:val="bottom"/>
          </w:tcPr>
          <w:p w14:paraId="55F2383B">
            <w:pPr>
              <w:pageBreakBefore w:val="0"/>
              <w:widowControl/>
              <w:kinsoku/>
              <w:overflowPunct/>
              <w:topLinePunct w:val="0"/>
              <w:autoSpaceDE/>
              <w:autoSpaceDN/>
              <w:bidi w:val="0"/>
              <w:adjustRightInd w:val="0"/>
              <w:snapToGrid w:val="0"/>
              <w:spacing w:line="560" w:lineRule="exact"/>
              <w:ind w:left="0" w:leftChars="0" w:right="0" w:rightChars="0"/>
              <w:jc w:val="left"/>
              <w:textAlignment w:val="auto"/>
              <w:rPr>
                <w:rFonts w:ascii="仿宋_GB2312" w:hAnsi="仿宋_GB2312" w:eastAsia="仿宋_GB2312" w:cs="仿宋_GB2312"/>
                <w:bCs/>
                <w:snapToGrid w:val="0"/>
                <w:kern w:val="0"/>
                <w:sz w:val="28"/>
                <w:szCs w:val="28"/>
                <w:highlight w:val="none"/>
              </w:rPr>
            </w:pPr>
          </w:p>
        </w:tc>
      </w:tr>
    </w:tbl>
    <w:p w14:paraId="7681202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p>
    <w:p w14:paraId="2D59647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(3)发包人供应材料设备保管费(包括装卸费)的费率为：</w:t>
      </w:r>
      <w:r>
        <w:rPr>
          <w:rFonts w:hint="eastAsia" w:ascii="仿宋_GB2312" w:hAnsi="仿宋_GB2312" w:eastAsia="仿宋_GB2312" w:cs="仿宋_GB2312"/>
          <w:bCs/>
          <w:snapToGrid w:val="0"/>
          <w:kern w:val="0"/>
          <w:sz w:val="28"/>
          <w:szCs w:val="28"/>
          <w:highlight w:val="none"/>
          <w:u w:val="single"/>
        </w:rPr>
        <w:t xml:space="preserve">           </w:t>
      </w:r>
    </w:p>
    <w:p w14:paraId="3152886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24" w:name="_Toc302635991"/>
      <w:bookmarkStart w:id="525" w:name="_Toc20829"/>
      <w:bookmarkStart w:id="526" w:name="_Toc492905252"/>
      <w:bookmarkStart w:id="527" w:name="_Toc305331474"/>
      <w:r>
        <w:rPr>
          <w:rFonts w:hint="eastAsia" w:ascii="仿宋_GB2312" w:hAnsi="仿宋_GB2312" w:eastAsia="仿宋_GB2312" w:cs="仿宋_GB2312"/>
          <w:b/>
          <w:sz w:val="28"/>
          <w:szCs w:val="28"/>
          <w:highlight w:val="none"/>
          <w:lang w:val="en-US" w:eastAsia="zh-CN"/>
        </w:rPr>
        <w:t>14.2 发包人供应材料设备的结算</w:t>
      </w:r>
      <w:bookmarkEnd w:id="524"/>
      <w:bookmarkEnd w:id="525"/>
      <w:bookmarkEnd w:id="526"/>
      <w:bookmarkEnd w:id="527"/>
    </w:p>
    <w:p w14:paraId="51D06CC8">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发包人供应材料设备的结算方式：</w:t>
      </w:r>
      <w:r>
        <w:rPr>
          <w:rFonts w:hint="eastAsia" w:ascii="仿宋_GB2312" w:hAnsi="仿宋_GB2312" w:eastAsia="仿宋_GB2312" w:cs="仿宋_GB2312"/>
          <w:bCs/>
          <w:snapToGrid w:val="0"/>
          <w:kern w:val="0"/>
          <w:sz w:val="28"/>
          <w:szCs w:val="28"/>
          <w:highlight w:val="none"/>
          <w:u w:val="single"/>
        </w:rPr>
        <w:t xml:space="preserve">                               </w:t>
      </w:r>
    </w:p>
    <w:p w14:paraId="500D832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8D8DFA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1604D2E">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 (3)承包人实际使用量小于合理数量时节约的费用分配方式：</w:t>
      </w:r>
      <w:r>
        <w:rPr>
          <w:rFonts w:hint="eastAsia" w:ascii="仿宋_GB2312" w:hAnsi="仿宋_GB2312" w:eastAsia="仿宋_GB2312" w:cs="仿宋_GB2312"/>
          <w:bCs/>
          <w:snapToGrid w:val="0"/>
          <w:kern w:val="0"/>
          <w:sz w:val="28"/>
          <w:szCs w:val="28"/>
          <w:highlight w:val="none"/>
          <w:u w:val="single"/>
        </w:rPr>
        <w:t xml:space="preserve">       </w:t>
      </w:r>
    </w:p>
    <w:p w14:paraId="7568076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6BE469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65928DC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28" w:name="_Toc492905253"/>
      <w:bookmarkStart w:id="529" w:name="_Toc305331475"/>
      <w:bookmarkStart w:id="530" w:name="_Toc302635992"/>
      <w:bookmarkStart w:id="531" w:name="_Toc17962"/>
      <w:r>
        <w:rPr>
          <w:rFonts w:hint="eastAsia" w:ascii="仿宋_GB2312" w:hAnsi="仿宋_GB2312" w:eastAsia="仿宋_GB2312" w:cs="仿宋_GB2312"/>
          <w:b/>
          <w:sz w:val="28"/>
          <w:szCs w:val="28"/>
          <w:highlight w:val="none"/>
          <w:lang w:val="en-US" w:eastAsia="zh-CN"/>
        </w:rPr>
        <w:t>14.4 承包人采购材料设备</w:t>
      </w:r>
      <w:bookmarkEnd w:id="528"/>
      <w:bookmarkEnd w:id="529"/>
      <w:bookmarkEnd w:id="530"/>
      <w:bookmarkEnd w:id="531"/>
    </w:p>
    <w:p w14:paraId="27372DB4">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承包人采购材料设备的约定： </w:t>
      </w:r>
      <w:r>
        <w:rPr>
          <w:rFonts w:hint="eastAsia" w:ascii="仿宋_GB2312" w:hAnsi="仿宋_GB2312" w:eastAsia="仿宋_GB2312" w:cs="仿宋_GB2312"/>
          <w:bCs/>
          <w:snapToGrid w:val="0"/>
          <w:kern w:val="0"/>
          <w:sz w:val="28"/>
          <w:szCs w:val="28"/>
          <w:highlight w:val="none"/>
          <w:u w:val="single"/>
        </w:rPr>
        <w:t xml:space="preserve">                                 </w:t>
      </w:r>
    </w:p>
    <w:p w14:paraId="1FD3640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93C222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p>
    <w:p w14:paraId="49D440A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主要材料设备限定品牌范围表</w:t>
      </w:r>
    </w:p>
    <w:tbl>
      <w:tblPr>
        <w:tblStyle w:val="45"/>
        <w:tblW w:w="8594"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5714"/>
      </w:tblGrid>
      <w:tr w14:paraId="1EC6E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20" w:type="dxa"/>
            <w:tcBorders>
              <w:top w:val="single" w:color="auto" w:sz="4" w:space="0"/>
              <w:left w:val="single" w:color="auto" w:sz="4" w:space="0"/>
              <w:bottom w:val="single" w:color="auto" w:sz="4" w:space="0"/>
              <w:right w:val="single" w:color="auto" w:sz="4" w:space="0"/>
            </w:tcBorders>
            <w:vAlign w:val="center"/>
          </w:tcPr>
          <w:p w14:paraId="2B7D3840">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7F7F17BF">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主要材料设备名称</w:t>
            </w:r>
          </w:p>
        </w:tc>
        <w:tc>
          <w:tcPr>
            <w:tcW w:w="5714" w:type="dxa"/>
            <w:tcBorders>
              <w:top w:val="single" w:color="auto" w:sz="4" w:space="0"/>
              <w:left w:val="single" w:color="auto" w:sz="4" w:space="0"/>
              <w:bottom w:val="single" w:color="auto" w:sz="4" w:space="0"/>
              <w:right w:val="single" w:color="auto" w:sz="4" w:space="0"/>
            </w:tcBorders>
            <w:vAlign w:val="center"/>
          </w:tcPr>
          <w:p w14:paraId="094BAAE0">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限定品牌范围(不少于三个)</w:t>
            </w:r>
          </w:p>
        </w:tc>
      </w:tr>
      <w:tr w14:paraId="4C670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20" w:type="dxa"/>
            <w:tcBorders>
              <w:top w:val="single" w:color="auto" w:sz="4" w:space="0"/>
              <w:left w:val="single" w:color="auto" w:sz="4" w:space="0"/>
              <w:bottom w:val="single" w:color="auto" w:sz="4" w:space="0"/>
              <w:right w:val="single" w:color="auto" w:sz="4" w:space="0"/>
            </w:tcBorders>
            <w:vAlign w:val="center"/>
          </w:tcPr>
          <w:p w14:paraId="2DF7E3EE">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w:t>
            </w:r>
          </w:p>
        </w:tc>
        <w:tc>
          <w:tcPr>
            <w:tcW w:w="2160" w:type="dxa"/>
            <w:tcBorders>
              <w:top w:val="single" w:color="auto" w:sz="4" w:space="0"/>
              <w:left w:val="single" w:color="auto" w:sz="4" w:space="0"/>
              <w:bottom w:val="single" w:color="auto" w:sz="4" w:space="0"/>
              <w:right w:val="single" w:color="auto" w:sz="4" w:space="0"/>
            </w:tcBorders>
            <w:vAlign w:val="bottom"/>
          </w:tcPr>
          <w:p w14:paraId="232D160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5714" w:type="dxa"/>
            <w:tcBorders>
              <w:top w:val="single" w:color="auto" w:sz="4" w:space="0"/>
              <w:left w:val="single" w:color="auto" w:sz="4" w:space="0"/>
              <w:bottom w:val="single" w:color="auto" w:sz="4" w:space="0"/>
              <w:right w:val="single" w:color="auto" w:sz="4" w:space="0"/>
            </w:tcBorders>
            <w:vAlign w:val="bottom"/>
          </w:tcPr>
          <w:p w14:paraId="45EE64A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2A9FE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20" w:type="dxa"/>
            <w:tcBorders>
              <w:top w:val="single" w:color="auto" w:sz="4" w:space="0"/>
              <w:left w:val="single" w:color="auto" w:sz="4" w:space="0"/>
              <w:bottom w:val="single" w:color="auto" w:sz="4" w:space="0"/>
              <w:right w:val="single" w:color="auto" w:sz="4" w:space="0"/>
            </w:tcBorders>
            <w:vAlign w:val="center"/>
          </w:tcPr>
          <w:p w14:paraId="0DF5E834">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w:t>
            </w:r>
          </w:p>
        </w:tc>
        <w:tc>
          <w:tcPr>
            <w:tcW w:w="2160" w:type="dxa"/>
            <w:tcBorders>
              <w:top w:val="single" w:color="auto" w:sz="4" w:space="0"/>
              <w:left w:val="single" w:color="auto" w:sz="4" w:space="0"/>
              <w:bottom w:val="single" w:color="auto" w:sz="4" w:space="0"/>
              <w:right w:val="single" w:color="auto" w:sz="4" w:space="0"/>
            </w:tcBorders>
            <w:vAlign w:val="bottom"/>
          </w:tcPr>
          <w:p w14:paraId="77158DD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5714" w:type="dxa"/>
            <w:tcBorders>
              <w:top w:val="single" w:color="auto" w:sz="4" w:space="0"/>
              <w:left w:val="single" w:color="auto" w:sz="4" w:space="0"/>
              <w:bottom w:val="single" w:color="auto" w:sz="4" w:space="0"/>
              <w:right w:val="single" w:color="auto" w:sz="4" w:space="0"/>
            </w:tcBorders>
            <w:vAlign w:val="bottom"/>
          </w:tcPr>
          <w:p w14:paraId="0BD55A1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5B244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720" w:type="dxa"/>
            <w:tcBorders>
              <w:top w:val="single" w:color="auto" w:sz="4" w:space="0"/>
              <w:left w:val="single" w:color="auto" w:sz="4" w:space="0"/>
              <w:bottom w:val="single" w:color="auto" w:sz="4" w:space="0"/>
              <w:right w:val="single" w:color="auto" w:sz="4" w:space="0"/>
            </w:tcBorders>
            <w:vAlign w:val="center"/>
          </w:tcPr>
          <w:p w14:paraId="6A8AC6EF">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w:t>
            </w:r>
          </w:p>
        </w:tc>
        <w:tc>
          <w:tcPr>
            <w:tcW w:w="2160" w:type="dxa"/>
            <w:tcBorders>
              <w:top w:val="single" w:color="auto" w:sz="4" w:space="0"/>
              <w:left w:val="single" w:color="auto" w:sz="4" w:space="0"/>
              <w:bottom w:val="single" w:color="auto" w:sz="4" w:space="0"/>
              <w:right w:val="single" w:color="auto" w:sz="4" w:space="0"/>
            </w:tcBorders>
            <w:vAlign w:val="bottom"/>
          </w:tcPr>
          <w:p w14:paraId="0D4E402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5714" w:type="dxa"/>
            <w:tcBorders>
              <w:top w:val="single" w:color="auto" w:sz="4" w:space="0"/>
              <w:left w:val="single" w:color="auto" w:sz="4" w:space="0"/>
              <w:bottom w:val="single" w:color="auto" w:sz="4" w:space="0"/>
              <w:right w:val="single" w:color="auto" w:sz="4" w:space="0"/>
            </w:tcBorders>
            <w:vAlign w:val="bottom"/>
          </w:tcPr>
          <w:p w14:paraId="1E0950B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781FA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14:paraId="1375B1C5">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w:t>
            </w:r>
          </w:p>
        </w:tc>
        <w:tc>
          <w:tcPr>
            <w:tcW w:w="2160" w:type="dxa"/>
            <w:tcBorders>
              <w:top w:val="single" w:color="auto" w:sz="4" w:space="0"/>
              <w:left w:val="single" w:color="auto" w:sz="4" w:space="0"/>
              <w:bottom w:val="single" w:color="auto" w:sz="4" w:space="0"/>
              <w:right w:val="single" w:color="auto" w:sz="4" w:space="0"/>
            </w:tcBorders>
            <w:vAlign w:val="bottom"/>
          </w:tcPr>
          <w:p w14:paraId="49F5C02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5714" w:type="dxa"/>
            <w:tcBorders>
              <w:top w:val="single" w:color="auto" w:sz="4" w:space="0"/>
              <w:left w:val="single" w:color="auto" w:sz="4" w:space="0"/>
              <w:bottom w:val="single" w:color="auto" w:sz="4" w:space="0"/>
              <w:right w:val="single" w:color="auto" w:sz="4" w:space="0"/>
            </w:tcBorders>
            <w:vAlign w:val="bottom"/>
          </w:tcPr>
          <w:p w14:paraId="2020BF7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1003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20" w:type="dxa"/>
            <w:tcBorders>
              <w:top w:val="single" w:color="auto" w:sz="4" w:space="0"/>
              <w:left w:val="single" w:color="auto" w:sz="4" w:space="0"/>
              <w:bottom w:val="single" w:color="auto" w:sz="4" w:space="0"/>
              <w:right w:val="single" w:color="auto" w:sz="4" w:space="0"/>
            </w:tcBorders>
            <w:vAlign w:val="center"/>
          </w:tcPr>
          <w:p w14:paraId="398D23E0">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w:t>
            </w:r>
          </w:p>
        </w:tc>
        <w:tc>
          <w:tcPr>
            <w:tcW w:w="2160" w:type="dxa"/>
            <w:tcBorders>
              <w:top w:val="single" w:color="auto" w:sz="4" w:space="0"/>
              <w:left w:val="single" w:color="auto" w:sz="4" w:space="0"/>
              <w:bottom w:val="single" w:color="auto" w:sz="4" w:space="0"/>
              <w:right w:val="single" w:color="auto" w:sz="4" w:space="0"/>
            </w:tcBorders>
            <w:vAlign w:val="bottom"/>
          </w:tcPr>
          <w:p w14:paraId="007D998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5714" w:type="dxa"/>
            <w:tcBorders>
              <w:top w:val="single" w:color="auto" w:sz="4" w:space="0"/>
              <w:left w:val="single" w:color="auto" w:sz="4" w:space="0"/>
              <w:bottom w:val="single" w:color="auto" w:sz="4" w:space="0"/>
              <w:right w:val="single" w:color="auto" w:sz="4" w:space="0"/>
            </w:tcBorders>
            <w:vAlign w:val="bottom"/>
          </w:tcPr>
          <w:p w14:paraId="60364B3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48DC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720" w:type="dxa"/>
            <w:tcBorders>
              <w:top w:val="single" w:color="auto" w:sz="4" w:space="0"/>
              <w:left w:val="single" w:color="auto" w:sz="4" w:space="0"/>
              <w:bottom w:val="single" w:color="auto" w:sz="4" w:space="0"/>
              <w:right w:val="single" w:color="auto" w:sz="4" w:space="0"/>
            </w:tcBorders>
            <w:vAlign w:val="center"/>
          </w:tcPr>
          <w:p w14:paraId="76E479C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w:t>
            </w:r>
          </w:p>
        </w:tc>
        <w:tc>
          <w:tcPr>
            <w:tcW w:w="2160" w:type="dxa"/>
            <w:tcBorders>
              <w:top w:val="single" w:color="auto" w:sz="4" w:space="0"/>
              <w:left w:val="single" w:color="auto" w:sz="4" w:space="0"/>
              <w:bottom w:val="single" w:color="auto" w:sz="4" w:space="0"/>
              <w:right w:val="single" w:color="auto" w:sz="4" w:space="0"/>
            </w:tcBorders>
            <w:vAlign w:val="bottom"/>
          </w:tcPr>
          <w:p w14:paraId="0DAB2B8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5714" w:type="dxa"/>
            <w:tcBorders>
              <w:top w:val="single" w:color="auto" w:sz="4" w:space="0"/>
              <w:left w:val="single" w:color="auto" w:sz="4" w:space="0"/>
              <w:bottom w:val="single" w:color="auto" w:sz="4" w:space="0"/>
              <w:right w:val="single" w:color="auto" w:sz="4" w:space="0"/>
            </w:tcBorders>
            <w:vAlign w:val="bottom"/>
          </w:tcPr>
          <w:p w14:paraId="0A2392F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bl>
    <w:p w14:paraId="675CA04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32" w:name="_Toc6214"/>
      <w:bookmarkStart w:id="533" w:name="_Toc492905254"/>
      <w:bookmarkStart w:id="534" w:name="_Toc305331476"/>
      <w:bookmarkStart w:id="535" w:name="_Toc302635993"/>
      <w:r>
        <w:rPr>
          <w:rFonts w:hint="eastAsia" w:ascii="仿宋_GB2312" w:hAnsi="仿宋_GB2312" w:eastAsia="仿宋_GB2312" w:cs="仿宋_GB2312"/>
          <w:b/>
          <w:sz w:val="28"/>
          <w:szCs w:val="28"/>
          <w:highlight w:val="none"/>
          <w:lang w:val="en-US" w:eastAsia="zh-CN"/>
        </w:rPr>
        <w:t>14.6 材料和工程设备的替代</w:t>
      </w:r>
      <w:bookmarkEnd w:id="532"/>
      <w:bookmarkEnd w:id="533"/>
    </w:p>
    <w:p w14:paraId="2425C42E">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(2)承包人需使用替代材料设备应向监理人提出申请的时限：</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，监理人应发出书面指示的时限：</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9ADD891">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使用替代材料设备增减合同价格和产生费用的承担方式：</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1870DC0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36" w:name="_Toc4251"/>
      <w:bookmarkStart w:id="537" w:name="_Toc492905255"/>
      <w:r>
        <w:rPr>
          <w:rFonts w:hint="eastAsia" w:ascii="仿宋_GB2312" w:hAnsi="仿宋_GB2312" w:eastAsia="仿宋_GB2312" w:cs="仿宋_GB2312"/>
          <w:b/>
          <w:sz w:val="28"/>
          <w:szCs w:val="28"/>
          <w:highlight w:val="none"/>
          <w:lang w:val="en-US" w:eastAsia="zh-CN"/>
        </w:rPr>
        <w:t>14.7 材料设备的检验</w:t>
      </w:r>
      <w:bookmarkEnd w:id="534"/>
      <w:bookmarkEnd w:id="535"/>
      <w:bookmarkEnd w:id="536"/>
      <w:bookmarkEnd w:id="537"/>
    </w:p>
    <w:p w14:paraId="6A9F5CA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u w:val="single"/>
        </w:rPr>
      </w:pPr>
      <w:r>
        <w:rPr>
          <w:rFonts w:hint="eastAsia" w:ascii="仿宋_GB2312" w:hAnsi="仿宋_GB2312" w:eastAsia="仿宋_GB2312" w:cs="仿宋_GB2312"/>
          <w:bCs/>
          <w:snapToGrid w:val="0"/>
          <w:kern w:val="0"/>
          <w:sz w:val="28"/>
          <w:szCs w:val="28"/>
          <w:highlight w:val="none"/>
        </w:rPr>
        <w:t>(1)用于本工程的材料设备的检验要求：</w:t>
      </w:r>
      <w:r>
        <w:rPr>
          <w:rFonts w:hint="eastAsia" w:ascii="仿宋_GB2312" w:hAnsi="仿宋_GB2312" w:eastAsia="仿宋_GB2312" w:cs="仿宋_GB2312"/>
          <w:bCs/>
          <w:snapToGrid w:val="0"/>
          <w:kern w:val="0"/>
          <w:sz w:val="28"/>
          <w:szCs w:val="28"/>
          <w:u w:val="single"/>
        </w:rPr>
        <w:t xml:space="preserve">                           </w:t>
      </w:r>
    </w:p>
    <w:p w14:paraId="61B7E49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u w:val="single"/>
        </w:rPr>
        <w:t xml:space="preserve">                                                                </w:t>
      </w:r>
    </w:p>
    <w:p w14:paraId="29DCA8FE">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本工程的材料设备检验机构为：</w:t>
      </w:r>
      <w:r>
        <w:rPr>
          <w:rFonts w:hint="eastAsia" w:ascii="仿宋_GB2312" w:hAnsi="仿宋_GB2312" w:eastAsia="仿宋_GB2312" w:cs="仿宋_GB2312"/>
          <w:bCs/>
          <w:snapToGrid w:val="0"/>
          <w:kern w:val="0"/>
          <w:sz w:val="28"/>
          <w:szCs w:val="28"/>
          <w:highlight w:val="none"/>
          <w:u w:val="single"/>
        </w:rPr>
        <w:t xml:space="preserve">                                 </w:t>
      </w:r>
    </w:p>
    <w:p w14:paraId="0E466EC2">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538" w:name="_Toc492905256"/>
      <w:bookmarkStart w:id="539" w:name="_Toc305331477"/>
      <w:bookmarkStart w:id="540" w:name="_Toc6928"/>
      <w:bookmarkStart w:id="541" w:name="_Toc302635994"/>
      <w:r>
        <w:rPr>
          <w:rFonts w:hint="eastAsia" w:ascii="仿宋_GB2312" w:hAnsi="仿宋_GB2312" w:eastAsia="仿宋_GB2312" w:cs="仿宋_GB2312"/>
          <w:b/>
          <w:bCs w:val="0"/>
          <w:snapToGrid w:val="0"/>
          <w:kern w:val="0"/>
          <w:sz w:val="28"/>
          <w:szCs w:val="28"/>
          <w:highlight w:val="none"/>
        </w:rPr>
        <w:t>15 工程质量和检测</w:t>
      </w:r>
      <w:bookmarkEnd w:id="538"/>
      <w:bookmarkEnd w:id="539"/>
      <w:bookmarkEnd w:id="540"/>
      <w:bookmarkEnd w:id="541"/>
    </w:p>
    <w:p w14:paraId="42D4F97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42" w:name="_Toc305331478"/>
      <w:bookmarkStart w:id="543" w:name="_Toc302635995"/>
      <w:bookmarkStart w:id="544" w:name="_Toc492905257"/>
      <w:bookmarkStart w:id="545" w:name="_Toc8962"/>
      <w:r>
        <w:rPr>
          <w:rFonts w:hint="eastAsia" w:ascii="仿宋_GB2312" w:hAnsi="仿宋_GB2312" w:eastAsia="仿宋_GB2312" w:cs="仿宋_GB2312"/>
          <w:b/>
          <w:sz w:val="28"/>
          <w:szCs w:val="28"/>
          <w:highlight w:val="none"/>
          <w:lang w:val="en-US" w:eastAsia="zh-CN"/>
        </w:rPr>
        <w:t>15.7 工程质量</w:t>
      </w:r>
      <w:bookmarkEnd w:id="542"/>
      <w:bookmarkEnd w:id="543"/>
      <w:r>
        <w:rPr>
          <w:rFonts w:hint="eastAsia" w:ascii="仿宋_GB2312" w:hAnsi="仿宋_GB2312" w:eastAsia="仿宋_GB2312" w:cs="仿宋_GB2312"/>
          <w:b/>
          <w:sz w:val="28"/>
          <w:szCs w:val="28"/>
          <w:highlight w:val="none"/>
          <w:lang w:val="en-US" w:eastAsia="zh-CN"/>
        </w:rPr>
        <w:t>检测费用</w:t>
      </w:r>
      <w:bookmarkEnd w:id="544"/>
      <w:bookmarkEnd w:id="545"/>
    </w:p>
    <w:p w14:paraId="2B746064">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本工程质量检验检测项目包括：</w:t>
      </w:r>
      <w:r>
        <w:rPr>
          <w:rFonts w:hint="eastAsia" w:ascii="仿宋_GB2312" w:hAnsi="仿宋_GB2312" w:eastAsia="仿宋_GB2312" w:cs="仿宋_GB2312"/>
          <w:bCs/>
          <w:snapToGrid w:val="0"/>
          <w:kern w:val="0"/>
          <w:sz w:val="28"/>
          <w:szCs w:val="28"/>
          <w:highlight w:val="none"/>
          <w:u w:val="single"/>
        </w:rPr>
        <w:t xml:space="preserve">                                   </w:t>
      </w:r>
    </w:p>
    <w:p w14:paraId="4D42DB2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p>
    <w:p w14:paraId="2C935409">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546" w:name="_Toc305331479"/>
      <w:bookmarkStart w:id="547" w:name="_Toc302635996"/>
      <w:bookmarkStart w:id="548" w:name="_Toc20518"/>
      <w:bookmarkStart w:id="549" w:name="_Toc492905258"/>
      <w:r>
        <w:rPr>
          <w:rFonts w:hint="eastAsia" w:ascii="仿宋_GB2312" w:hAnsi="仿宋_GB2312" w:eastAsia="仿宋_GB2312" w:cs="仿宋_GB2312"/>
          <w:b/>
          <w:bCs w:val="0"/>
          <w:snapToGrid w:val="0"/>
          <w:kern w:val="0"/>
          <w:sz w:val="28"/>
          <w:szCs w:val="28"/>
          <w:highlight w:val="none"/>
        </w:rPr>
        <w:t>16 工程试运行</w:t>
      </w:r>
      <w:bookmarkEnd w:id="546"/>
      <w:bookmarkEnd w:id="547"/>
      <w:bookmarkEnd w:id="548"/>
      <w:bookmarkEnd w:id="549"/>
    </w:p>
    <w:p w14:paraId="0E37750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50" w:name="_Toc302635997"/>
      <w:bookmarkStart w:id="551" w:name="_Toc2300"/>
      <w:bookmarkStart w:id="552" w:name="_Toc305331480"/>
      <w:bookmarkStart w:id="553" w:name="_Toc492905259"/>
      <w:r>
        <w:rPr>
          <w:rFonts w:hint="eastAsia" w:ascii="仿宋_GB2312" w:hAnsi="仿宋_GB2312" w:eastAsia="仿宋_GB2312" w:cs="仿宋_GB2312"/>
          <w:b/>
          <w:sz w:val="28"/>
          <w:szCs w:val="28"/>
          <w:highlight w:val="none"/>
          <w:lang w:val="en-US" w:eastAsia="zh-CN"/>
        </w:rPr>
        <w:t>16.1 工程试运行内容和程序</w:t>
      </w:r>
      <w:bookmarkEnd w:id="550"/>
      <w:bookmarkEnd w:id="551"/>
      <w:bookmarkEnd w:id="552"/>
      <w:bookmarkEnd w:id="553"/>
    </w:p>
    <w:p w14:paraId="4349EE05">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工程试运行的内容及其费用承担方式：</w:t>
      </w:r>
      <w:r>
        <w:rPr>
          <w:rFonts w:hint="eastAsia" w:ascii="仿宋_GB2312" w:hAnsi="仿宋_GB2312" w:eastAsia="仿宋_GB2312" w:cs="仿宋_GB2312"/>
          <w:bCs/>
          <w:snapToGrid w:val="0"/>
          <w:kern w:val="0"/>
          <w:sz w:val="28"/>
          <w:szCs w:val="28"/>
          <w:highlight w:val="none"/>
          <w:u w:val="single"/>
        </w:rPr>
        <w:t xml:space="preserve">                           </w:t>
      </w:r>
    </w:p>
    <w:p w14:paraId="5897846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0264A4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6244E52A">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554" w:name="_Toc305331481"/>
      <w:bookmarkStart w:id="555" w:name="_Toc302635998"/>
      <w:bookmarkStart w:id="556" w:name="_Toc12325"/>
      <w:bookmarkStart w:id="557" w:name="_Toc492905260"/>
      <w:r>
        <w:rPr>
          <w:rFonts w:hint="eastAsia" w:ascii="仿宋_GB2312" w:hAnsi="仿宋_GB2312" w:eastAsia="仿宋_GB2312" w:cs="仿宋_GB2312"/>
          <w:b/>
          <w:bCs w:val="0"/>
          <w:snapToGrid w:val="0"/>
          <w:kern w:val="0"/>
          <w:sz w:val="28"/>
          <w:szCs w:val="28"/>
          <w:highlight w:val="none"/>
        </w:rPr>
        <w:t>17 安全文明施工</w:t>
      </w:r>
      <w:bookmarkEnd w:id="554"/>
      <w:bookmarkEnd w:id="555"/>
      <w:bookmarkEnd w:id="556"/>
      <w:bookmarkEnd w:id="557"/>
    </w:p>
    <w:p w14:paraId="65561FA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58" w:name="_Toc20058"/>
      <w:bookmarkStart w:id="559" w:name="_Toc492905261"/>
      <w:bookmarkStart w:id="560" w:name="_Toc305331482"/>
      <w:bookmarkStart w:id="561" w:name="_Toc302635999"/>
      <w:r>
        <w:rPr>
          <w:rFonts w:hint="eastAsia" w:ascii="仿宋_GB2312" w:hAnsi="仿宋_GB2312" w:eastAsia="仿宋_GB2312" w:cs="仿宋_GB2312"/>
          <w:b/>
          <w:sz w:val="28"/>
          <w:szCs w:val="28"/>
          <w:highlight w:val="none"/>
          <w:lang w:val="en-US" w:eastAsia="zh-CN"/>
        </w:rPr>
        <w:t>17.1发包人的安全文明施工责任</w:t>
      </w:r>
      <w:bookmarkEnd w:id="558"/>
      <w:bookmarkEnd w:id="559"/>
    </w:p>
    <w:p w14:paraId="05A28931">
      <w:pPr>
        <w:pageBreakBefore w:val="0"/>
        <w:kinsoku/>
        <w:overflowPunct/>
        <w:topLinePunct w:val="0"/>
        <w:autoSpaceDE/>
        <w:autoSpaceDN/>
        <w:bidi w:val="0"/>
        <w:adjustRightInd w:val="0"/>
        <w:snapToGrid w:val="0"/>
        <w:spacing w:line="560" w:lineRule="exact"/>
        <w:ind w:left="0" w:leftChars="0" w:right="0" w:rightChars="0" w:firstLine="700" w:firstLineChars="25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w:t>
      </w:r>
      <w:r>
        <w:rPr>
          <w:rFonts w:hint="eastAsia" w:ascii="仿宋_GB2312" w:hAnsi="仿宋_GB2312" w:eastAsia="仿宋_GB2312" w:cs="仿宋_GB2312"/>
          <w:bCs/>
          <w:snapToGrid w:val="0"/>
          <w:kern w:val="0"/>
          <w:sz w:val="28"/>
          <w:szCs w:val="28"/>
          <w:highlight w:val="none"/>
          <w:lang w:val="en-US" w:eastAsia="zh-CN"/>
        </w:rPr>
        <w:t>6</w:t>
      </w:r>
      <w:r>
        <w:rPr>
          <w:rFonts w:hint="eastAsia" w:ascii="仿宋_GB2312" w:hAnsi="仿宋_GB2312" w:eastAsia="仿宋_GB2312" w:cs="仿宋_GB2312"/>
          <w:bCs/>
          <w:snapToGrid w:val="0"/>
          <w:kern w:val="0"/>
          <w:sz w:val="28"/>
          <w:szCs w:val="28"/>
          <w:highlight w:val="none"/>
        </w:rPr>
        <w:t>)发包人应承担的安全文明施工责任：</w:t>
      </w:r>
      <w:r>
        <w:rPr>
          <w:rFonts w:hint="eastAsia" w:ascii="仿宋_GB2312" w:hAnsi="仿宋_GB2312" w:eastAsia="仿宋_GB2312" w:cs="仿宋_GB2312"/>
          <w:bCs/>
          <w:snapToGrid w:val="0"/>
          <w:kern w:val="0"/>
          <w:sz w:val="28"/>
          <w:szCs w:val="28"/>
          <w:highlight w:val="none"/>
          <w:u w:val="single"/>
        </w:rPr>
        <w:t xml:space="preserve">                        </w:t>
      </w:r>
    </w:p>
    <w:p w14:paraId="104DF5C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F500DE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F21BCB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6D4C023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146DE7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81215C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6AAA11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62" w:name="_Toc24218"/>
      <w:bookmarkStart w:id="563" w:name="_Toc492905262"/>
      <w:r>
        <w:rPr>
          <w:rFonts w:hint="eastAsia" w:ascii="仿宋_GB2312" w:hAnsi="仿宋_GB2312" w:eastAsia="仿宋_GB2312" w:cs="仿宋_GB2312"/>
          <w:b/>
          <w:sz w:val="28"/>
          <w:szCs w:val="28"/>
          <w:highlight w:val="none"/>
          <w:lang w:val="en-US" w:eastAsia="zh-CN"/>
        </w:rPr>
        <w:t>17.2 承包人的安全文明施工责任</w:t>
      </w:r>
      <w:bookmarkEnd w:id="560"/>
      <w:bookmarkEnd w:id="561"/>
      <w:bookmarkEnd w:id="562"/>
      <w:bookmarkEnd w:id="563"/>
    </w:p>
    <w:p w14:paraId="49F63176">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w:t>
      </w:r>
      <w:r>
        <w:rPr>
          <w:rFonts w:hint="eastAsia" w:ascii="仿宋_GB2312" w:hAnsi="仿宋_GB2312" w:eastAsia="仿宋_GB2312" w:cs="仿宋_GB2312"/>
          <w:bCs/>
          <w:snapToGrid w:val="0"/>
          <w:kern w:val="0"/>
          <w:sz w:val="28"/>
          <w:szCs w:val="28"/>
          <w:highlight w:val="none"/>
          <w:lang w:val="en-US" w:eastAsia="zh-CN"/>
        </w:rPr>
        <w:t>9</w:t>
      </w:r>
      <w:r>
        <w:rPr>
          <w:rFonts w:hint="eastAsia" w:ascii="仿宋_GB2312" w:hAnsi="仿宋_GB2312" w:eastAsia="仿宋_GB2312" w:cs="仿宋_GB2312"/>
          <w:bCs/>
          <w:snapToGrid w:val="0"/>
          <w:kern w:val="0"/>
          <w:sz w:val="28"/>
          <w:szCs w:val="28"/>
          <w:highlight w:val="none"/>
        </w:rPr>
        <w:t>)承包人应承担的安全文明施工责任：</w:t>
      </w:r>
      <w:r>
        <w:rPr>
          <w:rFonts w:hint="eastAsia" w:ascii="仿宋_GB2312" w:hAnsi="仿宋_GB2312" w:eastAsia="仿宋_GB2312" w:cs="仿宋_GB2312"/>
          <w:bCs/>
          <w:snapToGrid w:val="0"/>
          <w:kern w:val="0"/>
          <w:sz w:val="28"/>
          <w:szCs w:val="28"/>
          <w:highlight w:val="none"/>
          <w:u w:val="single"/>
        </w:rPr>
        <w:t xml:space="preserve">                          </w:t>
      </w:r>
    </w:p>
    <w:p w14:paraId="37D2AC0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D613CC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7605C1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0FBAC0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F2CB52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172F64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32B7F1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64" w:name="_Toc15217"/>
      <w:bookmarkStart w:id="565" w:name="_Toc492905263"/>
      <w:bookmarkStart w:id="566" w:name="_Toc305331483"/>
      <w:bookmarkStart w:id="567" w:name="_Toc302636000"/>
      <w:r>
        <w:rPr>
          <w:rFonts w:hint="eastAsia" w:ascii="仿宋_GB2312" w:hAnsi="仿宋_GB2312" w:eastAsia="仿宋_GB2312" w:cs="仿宋_GB2312"/>
          <w:b/>
          <w:sz w:val="28"/>
          <w:szCs w:val="28"/>
          <w:highlight w:val="none"/>
          <w:lang w:val="en-US" w:eastAsia="zh-CN"/>
        </w:rPr>
        <w:t>17.8 承包人的环境保护责任</w:t>
      </w:r>
      <w:bookmarkEnd w:id="564"/>
    </w:p>
    <w:p w14:paraId="0556204E">
      <w:pPr>
        <w:pageBreakBefore w:val="0"/>
        <w:tabs>
          <w:tab w:val="left" w:pos="1620"/>
          <w:tab w:val="left" w:pos="2340"/>
        </w:tabs>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(1)建筑废弃物排放的具体约定：</w:t>
      </w:r>
      <w:r>
        <w:rPr>
          <w:rFonts w:hint="eastAsia" w:ascii="仿宋" w:hAnsi="仿宋" w:eastAsia="仿宋" w:cs="仿宋"/>
          <w:bCs/>
          <w:sz w:val="28"/>
          <w:szCs w:val="28"/>
          <w:highlight w:val="none"/>
          <w:u w:val="single"/>
        </w:rPr>
        <w:t xml:space="preserve">                                           </w:t>
      </w:r>
    </w:p>
    <w:p w14:paraId="73A8304C">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p>
    <w:p w14:paraId="716F4E45">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u w:val="single"/>
        </w:rPr>
        <w:t xml:space="preserve">                                                                            </w:t>
      </w:r>
    </w:p>
    <w:p w14:paraId="52C2E09C">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u w:val="single"/>
        </w:rPr>
        <w:t xml:space="preserve">                                                                            </w:t>
      </w:r>
    </w:p>
    <w:p w14:paraId="0A6E42D3">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p>
    <w:p w14:paraId="12C46C42">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宋体" w:hAnsi="宋体"/>
          <w:bCs/>
          <w:sz w:val="24"/>
          <w:highlight w:val="none"/>
          <w:u w:val="single"/>
        </w:rPr>
      </w:pPr>
      <w:r>
        <w:rPr>
          <w:rFonts w:hint="eastAsia" w:ascii="仿宋" w:hAnsi="仿宋" w:eastAsia="仿宋" w:cs="仿宋"/>
          <w:bCs/>
          <w:sz w:val="28"/>
          <w:szCs w:val="28"/>
          <w:highlight w:val="none"/>
          <w:u w:val="single"/>
        </w:rPr>
        <w:t xml:space="preserve">                                                                           </w:t>
      </w:r>
      <w:r>
        <w:rPr>
          <w:rFonts w:hint="eastAsia" w:ascii="宋体" w:hAnsi="宋体"/>
          <w:bCs/>
          <w:sz w:val="24"/>
          <w:highlight w:val="none"/>
          <w:u w:val="single"/>
        </w:rPr>
        <w:t xml:space="preserve"> </w:t>
      </w:r>
    </w:p>
    <w:p w14:paraId="0775630C">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568" w:name="_Toc20888"/>
      <w:r>
        <w:rPr>
          <w:rFonts w:hint="eastAsia" w:ascii="仿宋_GB2312" w:hAnsi="仿宋_GB2312" w:eastAsia="仿宋_GB2312" w:cs="仿宋_GB2312"/>
          <w:b/>
          <w:bCs w:val="0"/>
          <w:snapToGrid w:val="0"/>
          <w:kern w:val="0"/>
          <w:sz w:val="28"/>
          <w:szCs w:val="28"/>
          <w:highlight w:val="none"/>
        </w:rPr>
        <w:t>18 余泥渣土运输</w:t>
      </w:r>
      <w:bookmarkEnd w:id="565"/>
      <w:bookmarkEnd w:id="566"/>
      <w:bookmarkEnd w:id="567"/>
      <w:bookmarkEnd w:id="568"/>
    </w:p>
    <w:p w14:paraId="5E76C79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69" w:name="_Toc305331484"/>
      <w:bookmarkStart w:id="570" w:name="_Toc18638"/>
      <w:bookmarkStart w:id="571" w:name="_Toc302636001"/>
      <w:bookmarkStart w:id="572" w:name="_Toc492905264"/>
      <w:bookmarkStart w:id="573" w:name="_Toc35656540"/>
      <w:r>
        <w:rPr>
          <w:rFonts w:hint="eastAsia" w:ascii="仿宋_GB2312" w:hAnsi="仿宋_GB2312" w:eastAsia="仿宋_GB2312" w:cs="仿宋_GB2312"/>
          <w:b/>
          <w:sz w:val="28"/>
          <w:szCs w:val="28"/>
          <w:highlight w:val="none"/>
          <w:lang w:val="en-US" w:eastAsia="zh-CN"/>
        </w:rPr>
        <w:t>18.2 承包人自行运输</w:t>
      </w:r>
      <w:bookmarkEnd w:id="569"/>
      <w:bookmarkEnd w:id="570"/>
      <w:bookmarkEnd w:id="571"/>
      <w:bookmarkEnd w:id="572"/>
    </w:p>
    <w:p w14:paraId="018EDCAA">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(2)承包人不具备通用条款第18.1款相关证件，不具备余泥渣土运输任务能力而自行承担余泥渣土运输任务，应支付违约金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14F46B6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74" w:name="_Toc492905265"/>
      <w:bookmarkStart w:id="575" w:name="_Toc14105"/>
      <w:bookmarkStart w:id="576" w:name="_Toc302636002"/>
      <w:bookmarkStart w:id="577" w:name="_Toc305331485"/>
      <w:r>
        <w:rPr>
          <w:rFonts w:hint="eastAsia" w:ascii="仿宋_GB2312" w:hAnsi="仿宋_GB2312" w:eastAsia="仿宋_GB2312" w:cs="仿宋_GB2312"/>
          <w:b/>
          <w:sz w:val="28"/>
          <w:szCs w:val="28"/>
          <w:highlight w:val="none"/>
          <w:lang w:val="en-US" w:eastAsia="zh-CN"/>
        </w:rPr>
        <w:t>18.3 余泥渣土运输分包</w:t>
      </w:r>
      <w:bookmarkEnd w:id="574"/>
      <w:bookmarkEnd w:id="575"/>
      <w:bookmarkEnd w:id="576"/>
    </w:p>
    <w:p w14:paraId="0D7006DC">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(3)承包人将余泥渣土运输任务分包给不具备相应运输资质的单位时，应支付违约金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4B86D12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78" w:name="_Toc492905266"/>
      <w:bookmarkStart w:id="579" w:name="_Toc302636003"/>
      <w:bookmarkStart w:id="580" w:name="_Toc11679"/>
      <w:r>
        <w:rPr>
          <w:rFonts w:hint="eastAsia" w:ascii="仿宋_GB2312" w:hAnsi="仿宋_GB2312" w:eastAsia="仿宋_GB2312" w:cs="仿宋_GB2312"/>
          <w:b/>
          <w:sz w:val="28"/>
          <w:szCs w:val="28"/>
          <w:highlight w:val="none"/>
          <w:lang w:val="en-US" w:eastAsia="zh-CN"/>
        </w:rPr>
        <w:t>18.5 余泥渣土运输车辆和</w:t>
      </w:r>
      <w:bookmarkEnd w:id="577"/>
      <w:r>
        <w:rPr>
          <w:rFonts w:hint="eastAsia" w:ascii="仿宋_GB2312" w:hAnsi="仿宋_GB2312" w:eastAsia="仿宋_GB2312" w:cs="仿宋_GB2312"/>
          <w:b/>
          <w:sz w:val="28"/>
          <w:szCs w:val="28"/>
          <w:highlight w:val="none"/>
          <w:lang w:val="en-US" w:eastAsia="zh-CN"/>
        </w:rPr>
        <w:t>驾驶员</w:t>
      </w:r>
      <w:bookmarkEnd w:id="578"/>
      <w:bookmarkEnd w:id="579"/>
      <w:bookmarkEnd w:id="580"/>
    </w:p>
    <w:p w14:paraId="10CEAB45">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(2)在承包人按通用条款第18.2款自行完成余泥渣土运输任务时，其安排的余泥渣土运输车辆和驾驶员有关信息见下表(可另附页)：</w:t>
      </w:r>
    </w:p>
    <w:tbl>
      <w:tblPr>
        <w:tblStyle w:val="45"/>
        <w:tblW w:w="855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1315"/>
        <w:gridCol w:w="1315"/>
        <w:gridCol w:w="1316"/>
        <w:gridCol w:w="1315"/>
        <w:gridCol w:w="1315"/>
        <w:gridCol w:w="1316"/>
      </w:tblGrid>
      <w:tr w14:paraId="4DA4E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14:paraId="148E1817">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序号</w:t>
            </w:r>
          </w:p>
        </w:tc>
        <w:tc>
          <w:tcPr>
            <w:tcW w:w="1315" w:type="dxa"/>
            <w:tcBorders>
              <w:top w:val="single" w:color="auto" w:sz="4" w:space="0"/>
              <w:left w:val="single" w:color="auto" w:sz="4" w:space="0"/>
              <w:bottom w:val="single" w:color="auto" w:sz="4" w:space="0"/>
              <w:right w:val="single" w:color="auto" w:sz="4" w:space="0"/>
            </w:tcBorders>
            <w:vAlign w:val="center"/>
          </w:tcPr>
          <w:p w14:paraId="1AA71E7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车牌号码</w:t>
            </w:r>
          </w:p>
        </w:tc>
        <w:tc>
          <w:tcPr>
            <w:tcW w:w="1315" w:type="dxa"/>
            <w:tcBorders>
              <w:top w:val="single" w:color="auto" w:sz="4" w:space="0"/>
              <w:left w:val="single" w:color="auto" w:sz="4" w:space="0"/>
              <w:bottom w:val="single" w:color="auto" w:sz="4" w:space="0"/>
              <w:right w:val="single" w:color="auto" w:sz="4" w:space="0"/>
            </w:tcBorders>
            <w:vAlign w:val="center"/>
          </w:tcPr>
          <w:p w14:paraId="0167EF47">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车型</w:t>
            </w:r>
          </w:p>
        </w:tc>
        <w:tc>
          <w:tcPr>
            <w:tcW w:w="1316" w:type="dxa"/>
            <w:tcBorders>
              <w:top w:val="single" w:color="auto" w:sz="4" w:space="0"/>
              <w:left w:val="single" w:color="auto" w:sz="4" w:space="0"/>
              <w:bottom w:val="single" w:color="auto" w:sz="4" w:space="0"/>
              <w:right w:val="single" w:color="auto" w:sz="4" w:space="0"/>
            </w:tcBorders>
            <w:vAlign w:val="center"/>
          </w:tcPr>
          <w:p w14:paraId="2F9E7781">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车辆证件号</w:t>
            </w:r>
          </w:p>
        </w:tc>
        <w:tc>
          <w:tcPr>
            <w:tcW w:w="1315" w:type="dxa"/>
            <w:tcBorders>
              <w:top w:val="single" w:color="auto" w:sz="4" w:space="0"/>
              <w:left w:val="single" w:color="auto" w:sz="4" w:space="0"/>
              <w:bottom w:val="single" w:color="auto" w:sz="4" w:space="0"/>
              <w:right w:val="single" w:color="auto" w:sz="4" w:space="0"/>
            </w:tcBorders>
            <w:vAlign w:val="center"/>
          </w:tcPr>
          <w:p w14:paraId="2B4B5F0C">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驾驶员姓名</w:t>
            </w:r>
          </w:p>
        </w:tc>
        <w:tc>
          <w:tcPr>
            <w:tcW w:w="1315" w:type="dxa"/>
            <w:tcBorders>
              <w:top w:val="single" w:color="auto" w:sz="4" w:space="0"/>
              <w:left w:val="single" w:color="auto" w:sz="4" w:space="0"/>
              <w:bottom w:val="single" w:color="auto" w:sz="4" w:space="0"/>
              <w:right w:val="single" w:color="auto" w:sz="4" w:space="0"/>
            </w:tcBorders>
            <w:vAlign w:val="center"/>
          </w:tcPr>
          <w:p w14:paraId="79AC50AD">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驾驶证件号</w:t>
            </w:r>
          </w:p>
        </w:tc>
        <w:tc>
          <w:tcPr>
            <w:tcW w:w="1316" w:type="dxa"/>
            <w:tcBorders>
              <w:top w:val="single" w:color="auto" w:sz="4" w:space="0"/>
              <w:left w:val="single" w:color="auto" w:sz="4" w:space="0"/>
              <w:bottom w:val="single" w:color="auto" w:sz="4" w:space="0"/>
              <w:right w:val="single" w:color="auto" w:sz="4" w:space="0"/>
            </w:tcBorders>
            <w:vAlign w:val="center"/>
          </w:tcPr>
          <w:p w14:paraId="7AF87CAB">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备注</w:t>
            </w:r>
          </w:p>
        </w:tc>
      </w:tr>
      <w:tr w14:paraId="516B9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vAlign w:val="center"/>
          </w:tcPr>
          <w:p w14:paraId="6BE4DBD1">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1</w:t>
            </w:r>
          </w:p>
        </w:tc>
        <w:tc>
          <w:tcPr>
            <w:tcW w:w="1315" w:type="dxa"/>
            <w:tcBorders>
              <w:top w:val="single" w:color="auto" w:sz="4" w:space="0"/>
              <w:left w:val="single" w:color="auto" w:sz="4" w:space="0"/>
              <w:bottom w:val="single" w:color="auto" w:sz="4" w:space="0"/>
              <w:right w:val="single" w:color="auto" w:sz="4" w:space="0"/>
            </w:tcBorders>
            <w:vAlign w:val="bottom"/>
          </w:tcPr>
          <w:p w14:paraId="490561D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72C0E9F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47935A0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3E33FD1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03CF7E3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050078F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41F1D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14:paraId="6B8754A2">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2</w:t>
            </w:r>
          </w:p>
        </w:tc>
        <w:tc>
          <w:tcPr>
            <w:tcW w:w="1315" w:type="dxa"/>
            <w:tcBorders>
              <w:top w:val="single" w:color="auto" w:sz="4" w:space="0"/>
              <w:left w:val="single" w:color="auto" w:sz="4" w:space="0"/>
              <w:bottom w:val="single" w:color="auto" w:sz="4" w:space="0"/>
              <w:right w:val="single" w:color="auto" w:sz="4" w:space="0"/>
            </w:tcBorders>
            <w:vAlign w:val="bottom"/>
          </w:tcPr>
          <w:p w14:paraId="1B45EDE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49798D4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05EEA3F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0521389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3512370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628B79B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3A41E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6A06BF07">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3</w:t>
            </w:r>
          </w:p>
        </w:tc>
        <w:tc>
          <w:tcPr>
            <w:tcW w:w="1315" w:type="dxa"/>
            <w:tcBorders>
              <w:top w:val="single" w:color="auto" w:sz="4" w:space="0"/>
              <w:left w:val="single" w:color="auto" w:sz="4" w:space="0"/>
              <w:bottom w:val="single" w:color="auto" w:sz="4" w:space="0"/>
              <w:right w:val="single" w:color="auto" w:sz="4" w:space="0"/>
            </w:tcBorders>
            <w:vAlign w:val="bottom"/>
          </w:tcPr>
          <w:p w14:paraId="58E857C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3843DB0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0C0F04C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0F0110E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32D0B8F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6D048D5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1F409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0F843063">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4</w:t>
            </w:r>
          </w:p>
        </w:tc>
        <w:tc>
          <w:tcPr>
            <w:tcW w:w="1315" w:type="dxa"/>
            <w:tcBorders>
              <w:top w:val="single" w:color="auto" w:sz="4" w:space="0"/>
              <w:left w:val="single" w:color="auto" w:sz="4" w:space="0"/>
              <w:bottom w:val="single" w:color="auto" w:sz="4" w:space="0"/>
              <w:right w:val="single" w:color="auto" w:sz="4" w:space="0"/>
            </w:tcBorders>
            <w:vAlign w:val="bottom"/>
          </w:tcPr>
          <w:p w14:paraId="1710995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605A45A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00FAE93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3BEBC78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3051E31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46A2422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38B9B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4F800E26">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5</w:t>
            </w:r>
          </w:p>
        </w:tc>
        <w:tc>
          <w:tcPr>
            <w:tcW w:w="1315" w:type="dxa"/>
            <w:tcBorders>
              <w:top w:val="single" w:color="auto" w:sz="4" w:space="0"/>
              <w:left w:val="single" w:color="auto" w:sz="4" w:space="0"/>
              <w:bottom w:val="single" w:color="auto" w:sz="4" w:space="0"/>
              <w:right w:val="single" w:color="auto" w:sz="4" w:space="0"/>
            </w:tcBorders>
            <w:vAlign w:val="bottom"/>
          </w:tcPr>
          <w:p w14:paraId="225B0FA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6B0F276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243FF82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7C055B6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29D937D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14CB05A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3C332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07D789BF">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6</w:t>
            </w:r>
          </w:p>
        </w:tc>
        <w:tc>
          <w:tcPr>
            <w:tcW w:w="1315" w:type="dxa"/>
            <w:tcBorders>
              <w:top w:val="single" w:color="auto" w:sz="4" w:space="0"/>
              <w:left w:val="single" w:color="auto" w:sz="4" w:space="0"/>
              <w:bottom w:val="single" w:color="auto" w:sz="4" w:space="0"/>
              <w:right w:val="single" w:color="auto" w:sz="4" w:space="0"/>
            </w:tcBorders>
            <w:vAlign w:val="bottom"/>
          </w:tcPr>
          <w:p w14:paraId="2EC6A35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78DF89D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57DB2DD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1AD6902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0C77983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197FADD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2F0B0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17323448">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7</w:t>
            </w:r>
          </w:p>
        </w:tc>
        <w:tc>
          <w:tcPr>
            <w:tcW w:w="1315" w:type="dxa"/>
            <w:tcBorders>
              <w:top w:val="single" w:color="auto" w:sz="4" w:space="0"/>
              <w:left w:val="single" w:color="auto" w:sz="4" w:space="0"/>
              <w:bottom w:val="single" w:color="auto" w:sz="4" w:space="0"/>
              <w:right w:val="single" w:color="auto" w:sz="4" w:space="0"/>
            </w:tcBorders>
            <w:vAlign w:val="bottom"/>
          </w:tcPr>
          <w:p w14:paraId="5D8C60E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75EE29F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0B4F4EA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0753A49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1A430F5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3BC24FE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47C45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50CBC991">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8</w:t>
            </w:r>
          </w:p>
        </w:tc>
        <w:tc>
          <w:tcPr>
            <w:tcW w:w="1315" w:type="dxa"/>
            <w:tcBorders>
              <w:top w:val="single" w:color="auto" w:sz="4" w:space="0"/>
              <w:left w:val="single" w:color="auto" w:sz="4" w:space="0"/>
              <w:bottom w:val="single" w:color="auto" w:sz="4" w:space="0"/>
              <w:right w:val="single" w:color="auto" w:sz="4" w:space="0"/>
            </w:tcBorders>
            <w:vAlign w:val="bottom"/>
          </w:tcPr>
          <w:p w14:paraId="4F41B87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09D4242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1D2F1E5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0995ED6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13794A6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621D834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64165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4A0DB178">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9</w:t>
            </w:r>
          </w:p>
        </w:tc>
        <w:tc>
          <w:tcPr>
            <w:tcW w:w="1315" w:type="dxa"/>
            <w:tcBorders>
              <w:top w:val="single" w:color="auto" w:sz="4" w:space="0"/>
              <w:left w:val="single" w:color="auto" w:sz="4" w:space="0"/>
              <w:bottom w:val="single" w:color="auto" w:sz="4" w:space="0"/>
              <w:right w:val="single" w:color="auto" w:sz="4" w:space="0"/>
            </w:tcBorders>
            <w:vAlign w:val="bottom"/>
          </w:tcPr>
          <w:p w14:paraId="1439007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31248B4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6047C7C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5CD17F8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41EEDA5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20263A1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1E71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vAlign w:val="center"/>
          </w:tcPr>
          <w:p w14:paraId="2DA65C6E">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10</w:t>
            </w:r>
          </w:p>
        </w:tc>
        <w:tc>
          <w:tcPr>
            <w:tcW w:w="1315" w:type="dxa"/>
            <w:tcBorders>
              <w:top w:val="single" w:color="auto" w:sz="4" w:space="0"/>
              <w:left w:val="single" w:color="auto" w:sz="4" w:space="0"/>
              <w:bottom w:val="single" w:color="auto" w:sz="4" w:space="0"/>
              <w:right w:val="single" w:color="auto" w:sz="4" w:space="0"/>
            </w:tcBorders>
            <w:vAlign w:val="bottom"/>
          </w:tcPr>
          <w:p w14:paraId="0C50986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630CF08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63938A6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293A5A7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701D0C9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57CD444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r w14:paraId="44B4E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0D3312FB">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ascii="仿宋_GB2312" w:hAnsi="仿宋_GB2312" w:eastAsia="仿宋_GB2312" w:cs="仿宋_GB2312"/>
                <w:bCs/>
                <w:snapToGrid w:val="0"/>
                <w:kern w:val="0"/>
                <w:sz w:val="24"/>
                <w:highlight w:val="none"/>
              </w:rPr>
            </w:pPr>
            <w:r>
              <w:rPr>
                <w:rFonts w:hint="eastAsia" w:ascii="仿宋_GB2312" w:hAnsi="仿宋_GB2312" w:eastAsia="仿宋_GB2312" w:cs="仿宋_GB2312"/>
                <w:bCs/>
                <w:snapToGrid w:val="0"/>
                <w:kern w:val="0"/>
                <w:sz w:val="24"/>
                <w:highlight w:val="none"/>
              </w:rPr>
              <w:t>…</w:t>
            </w:r>
          </w:p>
        </w:tc>
        <w:tc>
          <w:tcPr>
            <w:tcW w:w="1315" w:type="dxa"/>
            <w:tcBorders>
              <w:top w:val="single" w:color="auto" w:sz="4" w:space="0"/>
              <w:left w:val="single" w:color="auto" w:sz="4" w:space="0"/>
              <w:bottom w:val="single" w:color="auto" w:sz="4" w:space="0"/>
              <w:right w:val="single" w:color="auto" w:sz="4" w:space="0"/>
            </w:tcBorders>
            <w:vAlign w:val="bottom"/>
          </w:tcPr>
          <w:p w14:paraId="04554E5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46FF5A4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1B4450A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4DC307D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5" w:type="dxa"/>
            <w:tcBorders>
              <w:top w:val="single" w:color="auto" w:sz="4" w:space="0"/>
              <w:left w:val="single" w:color="auto" w:sz="4" w:space="0"/>
              <w:bottom w:val="single" w:color="auto" w:sz="4" w:space="0"/>
              <w:right w:val="single" w:color="auto" w:sz="4" w:space="0"/>
            </w:tcBorders>
            <w:vAlign w:val="bottom"/>
          </w:tcPr>
          <w:p w14:paraId="52CBF47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c>
          <w:tcPr>
            <w:tcW w:w="1316" w:type="dxa"/>
            <w:tcBorders>
              <w:top w:val="single" w:color="auto" w:sz="4" w:space="0"/>
              <w:left w:val="single" w:color="auto" w:sz="4" w:space="0"/>
              <w:bottom w:val="single" w:color="auto" w:sz="4" w:space="0"/>
              <w:right w:val="single" w:color="auto" w:sz="4" w:space="0"/>
            </w:tcBorders>
            <w:vAlign w:val="bottom"/>
          </w:tcPr>
          <w:p w14:paraId="2505F23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4"/>
                <w:highlight w:val="none"/>
              </w:rPr>
            </w:pPr>
          </w:p>
        </w:tc>
      </w:tr>
    </w:tbl>
    <w:p w14:paraId="3793A63B">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(5)承包人安排的车辆不符合通用条款第18.5(1)款规定的证件要求，或未如实向监理工程师报送车辆和驾驶员信息，或未依程序自行改变车辆和专职驾驶员名单，承包人应向发包人支付违约金：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元/车·次。</w:t>
      </w:r>
    </w:p>
    <w:p w14:paraId="57FBA05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81" w:name="_Toc3655"/>
      <w:bookmarkStart w:id="582" w:name="_Toc492905267"/>
      <w:bookmarkStart w:id="583" w:name="_Toc305331486"/>
      <w:bookmarkStart w:id="584" w:name="_Toc302636004"/>
      <w:r>
        <w:rPr>
          <w:rFonts w:hint="eastAsia" w:ascii="仿宋_GB2312" w:hAnsi="仿宋_GB2312" w:eastAsia="仿宋_GB2312" w:cs="仿宋_GB2312"/>
          <w:b/>
          <w:sz w:val="28"/>
          <w:szCs w:val="28"/>
          <w:highlight w:val="none"/>
          <w:lang w:val="en-US" w:eastAsia="zh-CN"/>
        </w:rPr>
        <w:t>18.6 专职检查人员</w:t>
      </w:r>
      <w:bookmarkEnd w:id="581"/>
      <w:bookmarkEnd w:id="582"/>
      <w:bookmarkEnd w:id="583"/>
      <w:bookmarkEnd w:id="584"/>
    </w:p>
    <w:p w14:paraId="63FB4BF3">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承包人指定专职检查人员姓名：</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3ED5DF2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检查内容：</w:t>
      </w:r>
      <w:r>
        <w:rPr>
          <w:rFonts w:hint="eastAsia" w:ascii="仿宋_GB2312" w:hAnsi="仿宋_GB2312" w:eastAsia="仿宋_GB2312" w:cs="仿宋_GB2312"/>
          <w:bCs/>
          <w:snapToGrid w:val="0"/>
          <w:kern w:val="0"/>
          <w:sz w:val="28"/>
          <w:szCs w:val="28"/>
          <w:highlight w:val="none"/>
          <w:u w:val="single"/>
        </w:rPr>
        <w:t xml:space="preserve">                                                   </w:t>
      </w:r>
    </w:p>
    <w:p w14:paraId="3E6493B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C6239C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85" w:name="_Toc18002"/>
      <w:bookmarkStart w:id="586" w:name="_Toc492905268"/>
      <w:bookmarkStart w:id="587" w:name="_Toc302636005"/>
      <w:bookmarkStart w:id="588" w:name="_Toc305331487"/>
      <w:r>
        <w:rPr>
          <w:rFonts w:hint="eastAsia" w:ascii="仿宋_GB2312" w:hAnsi="仿宋_GB2312" w:eastAsia="仿宋_GB2312" w:cs="仿宋_GB2312"/>
          <w:b/>
          <w:sz w:val="28"/>
          <w:szCs w:val="28"/>
          <w:highlight w:val="none"/>
          <w:lang w:val="en-US" w:eastAsia="zh-CN"/>
        </w:rPr>
        <w:t>18.7 余泥渣土安全文明运输</w:t>
      </w:r>
      <w:bookmarkEnd w:id="585"/>
      <w:bookmarkEnd w:id="586"/>
      <w:bookmarkEnd w:id="587"/>
      <w:bookmarkEnd w:id="588"/>
    </w:p>
    <w:p w14:paraId="07CF0A5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承包人违反通用条款第18.7款约定，对发现问题拒不履行其应尽的合同义务，应支付违约金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D5C67C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89" w:name="_Toc492905269"/>
      <w:bookmarkStart w:id="590" w:name="_Toc23579"/>
      <w:bookmarkStart w:id="591" w:name="_Toc305331488"/>
      <w:bookmarkStart w:id="592" w:name="_Toc302636006"/>
      <w:r>
        <w:rPr>
          <w:rFonts w:hint="eastAsia" w:ascii="仿宋_GB2312" w:hAnsi="仿宋_GB2312" w:eastAsia="仿宋_GB2312" w:cs="仿宋_GB2312"/>
          <w:b/>
          <w:sz w:val="28"/>
          <w:szCs w:val="28"/>
          <w:highlight w:val="none"/>
          <w:lang w:val="en-US" w:eastAsia="zh-CN"/>
        </w:rPr>
        <w:t>18.8 检查纠正责任</w:t>
      </w:r>
      <w:bookmarkEnd w:id="589"/>
      <w:bookmarkEnd w:id="590"/>
      <w:bookmarkEnd w:id="591"/>
      <w:bookmarkEnd w:id="592"/>
    </w:p>
    <w:p w14:paraId="01AAAA17">
      <w:pPr>
        <w:pageBreakBefore w:val="0"/>
        <w:kinsoku/>
        <w:overflowPunct/>
        <w:topLinePunct w:val="0"/>
        <w:autoSpaceDE/>
        <w:autoSpaceDN/>
        <w:bidi w:val="0"/>
        <w:adjustRightInd w:val="0"/>
        <w:snapToGrid w:val="0"/>
        <w:spacing w:line="560" w:lineRule="exact"/>
        <w:ind w:left="0" w:leftChars="0" w:right="0" w:rightChars="0" w:firstLine="36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承包人指定的专职检查人员未履行合同约定的检查纠正职责，承包人应支违约金</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 </w:t>
      </w:r>
    </w:p>
    <w:bookmarkEnd w:id="573"/>
    <w:p w14:paraId="558B85C2">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593" w:name="_Toc492905270"/>
      <w:bookmarkStart w:id="594" w:name="_Toc15669"/>
      <w:bookmarkStart w:id="595" w:name="_Toc305331489"/>
      <w:bookmarkStart w:id="596" w:name="_Toc302636007"/>
      <w:r>
        <w:rPr>
          <w:rFonts w:hint="eastAsia" w:ascii="仿宋_GB2312" w:hAnsi="仿宋_GB2312" w:eastAsia="仿宋_GB2312" w:cs="仿宋_GB2312"/>
          <w:b/>
          <w:bCs w:val="0"/>
          <w:snapToGrid w:val="0"/>
          <w:kern w:val="0"/>
          <w:sz w:val="28"/>
          <w:szCs w:val="28"/>
          <w:highlight w:val="none"/>
        </w:rPr>
        <w:t>20 合同价格的确定和调整</w:t>
      </w:r>
      <w:bookmarkEnd w:id="593"/>
      <w:bookmarkEnd w:id="594"/>
      <w:bookmarkEnd w:id="595"/>
      <w:bookmarkEnd w:id="596"/>
    </w:p>
    <w:p w14:paraId="40A424F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597" w:name="_Toc24057"/>
      <w:bookmarkStart w:id="598" w:name="_Toc302636008"/>
      <w:bookmarkStart w:id="599" w:name="_Toc492905271"/>
      <w:bookmarkStart w:id="600" w:name="_Toc305331490"/>
      <w:r>
        <w:rPr>
          <w:rFonts w:hint="eastAsia" w:ascii="仿宋_GB2312" w:hAnsi="仿宋_GB2312" w:eastAsia="仿宋_GB2312" w:cs="仿宋_GB2312"/>
          <w:b/>
          <w:sz w:val="28"/>
          <w:szCs w:val="28"/>
          <w:highlight w:val="none"/>
          <w:lang w:val="en-US" w:eastAsia="zh-CN"/>
        </w:rPr>
        <w:t>20.1 签约合同价的确定</w:t>
      </w:r>
      <w:bookmarkEnd w:id="597"/>
      <w:bookmarkEnd w:id="598"/>
      <w:bookmarkEnd w:id="599"/>
    </w:p>
    <w:p w14:paraId="0DDD27B7">
      <w:pPr>
        <w:pageBreakBefore w:val="0"/>
        <w:kinsoku/>
        <w:overflowPunct/>
        <w:topLinePunct w:val="0"/>
        <w:autoSpaceDE/>
        <w:autoSpaceDN/>
        <w:bidi w:val="0"/>
        <w:adjustRightInd w:val="0"/>
        <w:snapToGrid w:val="0"/>
        <w:spacing w:line="560" w:lineRule="exact"/>
        <w:ind w:left="0" w:leftChars="0" w:right="0" w:rightChars="0" w:firstLine="36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（3）综合单价包含的风险范围：</w:t>
      </w:r>
      <w:r>
        <w:rPr>
          <w:rFonts w:hint="eastAsia" w:ascii="仿宋_GB2312" w:hAnsi="仿宋_GB2312" w:eastAsia="仿宋_GB2312" w:cs="仿宋_GB2312"/>
          <w:bCs/>
          <w:snapToGrid w:val="0"/>
          <w:kern w:val="0"/>
          <w:sz w:val="28"/>
          <w:szCs w:val="28"/>
          <w:highlight w:val="none"/>
          <w:u w:val="single"/>
        </w:rPr>
        <w:t xml:space="preserve">                                 </w:t>
      </w:r>
    </w:p>
    <w:p w14:paraId="3FC9C2D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71E70D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01" w:name="_Toc302636009"/>
      <w:bookmarkStart w:id="602" w:name="_Toc27939"/>
      <w:bookmarkStart w:id="603" w:name="_Toc492905272"/>
      <w:r>
        <w:rPr>
          <w:rFonts w:hint="eastAsia" w:ascii="仿宋_GB2312" w:hAnsi="仿宋_GB2312" w:eastAsia="仿宋_GB2312" w:cs="仿宋_GB2312"/>
          <w:b/>
          <w:sz w:val="28"/>
          <w:szCs w:val="28"/>
          <w:highlight w:val="none"/>
          <w:lang w:val="en-US" w:eastAsia="zh-CN"/>
        </w:rPr>
        <w:t>20.2 合同价格的调整</w:t>
      </w:r>
      <w:bookmarkEnd w:id="600"/>
      <w:bookmarkEnd w:id="601"/>
      <w:bookmarkEnd w:id="602"/>
      <w:bookmarkEnd w:id="603"/>
    </w:p>
    <w:p w14:paraId="01F50560">
      <w:pPr>
        <w:pageBreakBefore w:val="0"/>
        <w:kinsoku/>
        <w:overflowPunct/>
        <w:topLinePunct w:val="0"/>
        <w:autoSpaceDE/>
        <w:autoSpaceDN/>
        <w:bidi w:val="0"/>
        <w:adjustRightInd w:val="0"/>
        <w:snapToGrid w:val="0"/>
        <w:spacing w:line="560" w:lineRule="exact"/>
        <w:ind w:left="0" w:leftChars="0" w:right="0" w:rightChars="0" w:firstLine="36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(11)本工程合同价格调整的其他约定：</w:t>
      </w:r>
      <w:r>
        <w:rPr>
          <w:rFonts w:hint="eastAsia" w:ascii="仿宋_GB2312" w:hAnsi="仿宋_GB2312" w:eastAsia="仿宋_GB2312" w:cs="仿宋_GB2312"/>
          <w:bCs/>
          <w:snapToGrid w:val="0"/>
          <w:kern w:val="0"/>
          <w:sz w:val="28"/>
          <w:szCs w:val="28"/>
          <w:highlight w:val="none"/>
          <w:u w:val="single"/>
        </w:rPr>
        <w:t xml:space="preserve">                           </w:t>
      </w:r>
    </w:p>
    <w:p w14:paraId="6D45BC9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5F45D9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385487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950C7C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8047B3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04" w:name="_Toc492905273"/>
      <w:bookmarkStart w:id="605" w:name="_Toc29237"/>
      <w:bookmarkStart w:id="606" w:name="_Toc302636010"/>
      <w:bookmarkStart w:id="607" w:name="_Toc305331491"/>
      <w:r>
        <w:rPr>
          <w:rFonts w:hint="eastAsia" w:ascii="仿宋_GB2312" w:hAnsi="仿宋_GB2312" w:eastAsia="仿宋_GB2312" w:cs="仿宋_GB2312"/>
          <w:b/>
          <w:sz w:val="28"/>
          <w:szCs w:val="28"/>
          <w:highlight w:val="none"/>
          <w:lang w:val="en-US" w:eastAsia="zh-CN"/>
        </w:rPr>
        <w:t>20.4 工料机调差</w:t>
      </w:r>
      <w:bookmarkEnd w:id="604"/>
      <w:bookmarkEnd w:id="605"/>
      <w:bookmarkEnd w:id="606"/>
      <w:bookmarkEnd w:id="607"/>
    </w:p>
    <w:p w14:paraId="402507E1">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(2)用于本工程的人工、主要材料及机械使用发生价格波动时的约定如下：</w:t>
      </w:r>
      <w:r>
        <w:rPr>
          <w:rFonts w:hint="eastAsia" w:ascii="仿宋_GB2312" w:hAnsi="仿宋_GB2312" w:eastAsia="仿宋_GB2312" w:cs="仿宋_GB2312"/>
          <w:bCs/>
          <w:snapToGrid w:val="0"/>
          <w:kern w:val="0"/>
          <w:sz w:val="28"/>
          <w:szCs w:val="28"/>
          <w:highlight w:val="none"/>
          <w:u w:val="single"/>
        </w:rPr>
        <w:t xml:space="preserve">                                                           </w:t>
      </w:r>
    </w:p>
    <w:p w14:paraId="1F26F9D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1B4D38F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(3)主要材料是指用于本工程的某种材料价款总额达到签约合同价的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55C9BEA0">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(4)发包人和承包人根据本工程的具体实际，约定用于本工程的未达到第20.4(3)项约定比例的其它材料中可调差的材料种类为：</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结构用钢材、</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混凝土、</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沥青混凝土、</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电缆、</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预拌砂浆、</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柴油、</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汽油、</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 xml:space="preserve">其他：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353C847A">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(5)本工程工料机调差费用的计算和支付约定如下：</w:t>
      </w:r>
    </w:p>
    <w:p w14:paraId="3B6A2FA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与其相关的工程完工后进行计算并同期支付。</w:t>
      </w:r>
    </w:p>
    <w:p w14:paraId="4961E496">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竣工结算时一次性计算和支付。</w:t>
      </w:r>
    </w:p>
    <w:p w14:paraId="431D4FC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 xml:space="preserve">其他方式。具体约定为： </w:t>
      </w:r>
      <w:r>
        <w:rPr>
          <w:rFonts w:hint="eastAsia" w:ascii="仿宋_GB2312" w:hAnsi="仿宋_GB2312" w:eastAsia="仿宋_GB2312" w:cs="仿宋_GB2312"/>
          <w:bCs/>
          <w:snapToGrid w:val="0"/>
          <w:kern w:val="0"/>
          <w:sz w:val="28"/>
          <w:szCs w:val="28"/>
          <w:highlight w:val="none"/>
          <w:u w:val="single"/>
        </w:rPr>
        <w:t xml:space="preserve">                                  </w:t>
      </w:r>
    </w:p>
    <w:p w14:paraId="02B20CA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08" w:name="_Toc302636011"/>
      <w:bookmarkStart w:id="609" w:name="_Toc492905274"/>
      <w:bookmarkStart w:id="610" w:name="_Toc30333"/>
      <w:r>
        <w:rPr>
          <w:rFonts w:hint="eastAsia" w:ascii="仿宋_GB2312" w:hAnsi="仿宋_GB2312" w:eastAsia="仿宋_GB2312" w:cs="仿宋_GB2312"/>
          <w:b/>
          <w:sz w:val="28"/>
          <w:szCs w:val="28"/>
          <w:highlight w:val="none"/>
          <w:lang w:val="en-US" w:eastAsia="zh-CN"/>
        </w:rPr>
        <w:t>20.5 材料调差</w:t>
      </w:r>
      <w:bookmarkEnd w:id="608"/>
      <w:bookmarkEnd w:id="609"/>
      <w:bookmarkEnd w:id="610"/>
    </w:p>
    <w:p w14:paraId="7260F93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本合同Q总、Qi中，考虑的消耗量因素为：（注：只能选择一种方式，在选定的方式前的“</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”内打“√”）</w:t>
      </w:r>
    </w:p>
    <w:p w14:paraId="1350CDB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投标报价中材料消耗量。</w:t>
      </w:r>
    </w:p>
    <w:p w14:paraId="48B8ADA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定额消耗量。</w:t>
      </w:r>
    </w:p>
    <w:p w14:paraId="7889EEA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投标报价中材料消耗量和定额消耗量两者中最小值。</w:t>
      </w:r>
    </w:p>
    <w:p w14:paraId="7168DF0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其他：                 。</w:t>
      </w:r>
    </w:p>
    <w:p w14:paraId="0591263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用于本工程的按照20.4(3)、(4)款确定的可调差材料发生价格波动时合同价格的调整方法为：</w:t>
      </w:r>
    </w:p>
    <w:p w14:paraId="51D8020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（1）加权平均法。</w:t>
      </w:r>
    </w:p>
    <w:p w14:paraId="38572E6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（2）算术平均法。</w:t>
      </w:r>
    </w:p>
    <w:p w14:paraId="644A5AE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（3）其他方法。具体约定为：</w:t>
      </w:r>
      <w:r>
        <w:rPr>
          <w:rFonts w:hint="eastAsia" w:ascii="仿宋_GB2312" w:hAnsi="仿宋_GB2312" w:eastAsia="仿宋_GB2312" w:cs="仿宋_GB2312"/>
          <w:bCs/>
          <w:snapToGrid w:val="0"/>
          <w:kern w:val="0"/>
          <w:sz w:val="28"/>
          <w:szCs w:val="28"/>
          <w:highlight w:val="none"/>
          <w:u w:val="single"/>
        </w:rPr>
        <w:t xml:space="preserve">                                   </w:t>
      </w:r>
    </w:p>
    <w:p w14:paraId="54411C3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7FB266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调差公式中，PO为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年</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月《深圳建设工程价格信息》某材料价格。</w:t>
      </w:r>
    </w:p>
    <w:p w14:paraId="2150A37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11" w:name="_Toc28062"/>
      <w:bookmarkStart w:id="612" w:name="_Toc492905275"/>
      <w:bookmarkStart w:id="613" w:name="_Toc302636012"/>
      <w:bookmarkStart w:id="614" w:name="_Toc305331492"/>
      <w:r>
        <w:rPr>
          <w:rFonts w:hint="eastAsia" w:ascii="仿宋_GB2312" w:hAnsi="仿宋_GB2312" w:eastAsia="仿宋_GB2312" w:cs="仿宋_GB2312"/>
          <w:b/>
          <w:sz w:val="28"/>
          <w:szCs w:val="28"/>
          <w:highlight w:val="none"/>
          <w:lang w:val="en-US" w:eastAsia="zh-CN"/>
        </w:rPr>
        <w:t>20.6 人工、机械使用调差方法</w:t>
      </w:r>
      <w:bookmarkEnd w:id="611"/>
      <w:bookmarkEnd w:id="612"/>
    </w:p>
    <w:p w14:paraId="3155523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⑵用于本工程的人工发生价格波动时，合同价格的调整方法为：</w:t>
      </w:r>
    </w:p>
    <w:p w14:paraId="734AE6C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①按照20.5款调差公式，将公式中的材料价格替换为人工价格：</w:t>
      </w:r>
    </w:p>
    <w:p w14:paraId="640B400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□1.加权平均法。</w:t>
      </w:r>
    </w:p>
    <w:p w14:paraId="2340238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□2.算术平均法。</w:t>
      </w:r>
    </w:p>
    <w:p w14:paraId="119C5CB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②人工费指数调差。</w:t>
      </w:r>
    </w:p>
    <w:p w14:paraId="276DCF8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调差公式中，Io为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年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月《深圳建设工程价格信息》某工种定额人工费指数。</w:t>
      </w:r>
    </w:p>
    <w:p w14:paraId="27BC606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L总 确定原则：（注：只能选择一种方式，在选定的方式前的“□”内打“√”）</w:t>
      </w:r>
    </w:p>
    <w:p w14:paraId="7968831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□按投标文件商务标书中某工种总人工费所占比例确定。</w:t>
      </w:r>
    </w:p>
    <w:p w14:paraId="7C0FD6A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□按合同价格（工料机调差前）的一定比例确定：普工总人工费为合同价格（工料机调差前）的</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%；技工总人工费为合同价格（工料机调差前）的</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%；高级技工总人工费为合同价格（工料机调差前）的</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AF7887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□其他：                   。</w:t>
      </w:r>
    </w:p>
    <w:p w14:paraId="60502E8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③其他：</w:t>
      </w:r>
      <w:r>
        <w:rPr>
          <w:rFonts w:hint="eastAsia" w:ascii="仿宋_GB2312" w:hAnsi="仿宋_GB2312" w:eastAsia="仿宋_GB2312" w:cs="仿宋_GB2312"/>
          <w:bCs/>
          <w:snapToGrid w:val="0"/>
          <w:kern w:val="0"/>
          <w:sz w:val="28"/>
          <w:szCs w:val="28"/>
          <w:highlight w:val="none"/>
          <w:u w:val="single"/>
        </w:rPr>
        <w:t xml:space="preserve">                                                   </w:t>
      </w:r>
    </w:p>
    <w:p w14:paraId="628E89D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E0B9A2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58DC24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52FC8B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15" w:name="_Toc254"/>
      <w:bookmarkStart w:id="616" w:name="_Toc492905276"/>
      <w:r>
        <w:rPr>
          <w:rFonts w:hint="eastAsia" w:ascii="仿宋_GB2312" w:hAnsi="仿宋_GB2312" w:eastAsia="仿宋_GB2312" w:cs="仿宋_GB2312"/>
          <w:b/>
          <w:sz w:val="28"/>
          <w:szCs w:val="28"/>
          <w:highlight w:val="none"/>
          <w:lang w:val="en-US" w:eastAsia="zh-CN"/>
        </w:rPr>
        <w:t>20.8中标净下浮率</w:t>
      </w:r>
      <w:bookmarkEnd w:id="613"/>
      <w:bookmarkEnd w:id="615"/>
      <w:bookmarkEnd w:id="616"/>
    </w:p>
    <w:p w14:paraId="48E04B3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本工程中标净下浮率为：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1E5BC48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17" w:name="_Toc3717"/>
      <w:bookmarkStart w:id="618" w:name="_Toc492905277"/>
      <w:r>
        <w:rPr>
          <w:rFonts w:hint="eastAsia" w:ascii="仿宋_GB2312" w:hAnsi="仿宋_GB2312" w:eastAsia="仿宋_GB2312" w:cs="仿宋_GB2312"/>
          <w:b/>
          <w:sz w:val="28"/>
          <w:szCs w:val="28"/>
          <w:highlight w:val="none"/>
          <w:lang w:val="en-US" w:eastAsia="zh-CN"/>
        </w:rPr>
        <w:t>20.9 询价采购</w:t>
      </w:r>
      <w:bookmarkEnd w:id="617"/>
      <w:bookmarkEnd w:id="618"/>
    </w:p>
    <w:p w14:paraId="169765D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(1)本工程需询价采购的材料设备见下表：</w:t>
      </w:r>
    </w:p>
    <w:tbl>
      <w:tblPr>
        <w:tblStyle w:val="45"/>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630"/>
        <w:gridCol w:w="2288"/>
        <w:gridCol w:w="2925"/>
      </w:tblGrid>
      <w:tr w14:paraId="6E3F8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14:paraId="6FF7E87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序号</w:t>
            </w:r>
          </w:p>
        </w:tc>
        <w:tc>
          <w:tcPr>
            <w:tcW w:w="2630" w:type="dxa"/>
            <w:tcBorders>
              <w:top w:val="single" w:color="auto" w:sz="4" w:space="0"/>
              <w:left w:val="single" w:color="auto" w:sz="4" w:space="0"/>
              <w:bottom w:val="single" w:color="auto" w:sz="4" w:space="0"/>
              <w:right w:val="single" w:color="auto" w:sz="4" w:space="0"/>
            </w:tcBorders>
            <w:vAlign w:val="center"/>
          </w:tcPr>
          <w:p w14:paraId="3A1D022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材料设备名称</w:t>
            </w:r>
          </w:p>
        </w:tc>
        <w:tc>
          <w:tcPr>
            <w:tcW w:w="2288" w:type="dxa"/>
            <w:tcBorders>
              <w:top w:val="single" w:color="auto" w:sz="4" w:space="0"/>
              <w:left w:val="single" w:color="auto" w:sz="4" w:space="0"/>
              <w:bottom w:val="single" w:color="auto" w:sz="4" w:space="0"/>
              <w:right w:val="single" w:color="auto" w:sz="4" w:space="0"/>
            </w:tcBorders>
            <w:vAlign w:val="center"/>
          </w:tcPr>
          <w:p w14:paraId="79BC25D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采购估算价（元）</w:t>
            </w:r>
          </w:p>
        </w:tc>
        <w:tc>
          <w:tcPr>
            <w:tcW w:w="2925" w:type="dxa"/>
            <w:tcBorders>
              <w:top w:val="single" w:color="auto" w:sz="4" w:space="0"/>
              <w:left w:val="single" w:color="auto" w:sz="4" w:space="0"/>
              <w:bottom w:val="single" w:color="auto" w:sz="4" w:space="0"/>
              <w:right w:val="single" w:color="auto" w:sz="4" w:space="0"/>
            </w:tcBorders>
            <w:vAlign w:val="center"/>
          </w:tcPr>
          <w:p w14:paraId="15C0B35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备注</w:t>
            </w:r>
          </w:p>
        </w:tc>
      </w:tr>
      <w:tr w14:paraId="19CBC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vAlign w:val="center"/>
          </w:tcPr>
          <w:p w14:paraId="65F69CE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w:t>
            </w:r>
          </w:p>
        </w:tc>
        <w:tc>
          <w:tcPr>
            <w:tcW w:w="2630" w:type="dxa"/>
            <w:tcBorders>
              <w:top w:val="single" w:color="auto" w:sz="4" w:space="0"/>
              <w:left w:val="single" w:color="auto" w:sz="4" w:space="0"/>
              <w:bottom w:val="single" w:color="auto" w:sz="4" w:space="0"/>
              <w:right w:val="single" w:color="auto" w:sz="4" w:space="0"/>
            </w:tcBorders>
            <w:vAlign w:val="bottom"/>
          </w:tcPr>
          <w:p w14:paraId="191D637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02CEEFD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925" w:type="dxa"/>
            <w:tcBorders>
              <w:top w:val="single" w:color="auto" w:sz="4" w:space="0"/>
              <w:left w:val="single" w:color="auto" w:sz="4" w:space="0"/>
              <w:bottom w:val="single" w:color="auto" w:sz="4" w:space="0"/>
              <w:right w:val="single" w:color="auto" w:sz="4" w:space="0"/>
            </w:tcBorders>
            <w:vAlign w:val="bottom"/>
          </w:tcPr>
          <w:p w14:paraId="7331608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C45D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14:paraId="7FA9AD4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w:t>
            </w:r>
          </w:p>
        </w:tc>
        <w:tc>
          <w:tcPr>
            <w:tcW w:w="2630" w:type="dxa"/>
            <w:tcBorders>
              <w:top w:val="single" w:color="auto" w:sz="4" w:space="0"/>
              <w:left w:val="single" w:color="auto" w:sz="4" w:space="0"/>
              <w:bottom w:val="single" w:color="auto" w:sz="4" w:space="0"/>
              <w:right w:val="single" w:color="auto" w:sz="4" w:space="0"/>
            </w:tcBorders>
            <w:vAlign w:val="bottom"/>
          </w:tcPr>
          <w:p w14:paraId="59C274F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24E05A4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925" w:type="dxa"/>
            <w:tcBorders>
              <w:top w:val="single" w:color="auto" w:sz="4" w:space="0"/>
              <w:left w:val="single" w:color="auto" w:sz="4" w:space="0"/>
              <w:bottom w:val="single" w:color="auto" w:sz="4" w:space="0"/>
              <w:right w:val="single" w:color="auto" w:sz="4" w:space="0"/>
            </w:tcBorders>
            <w:vAlign w:val="bottom"/>
          </w:tcPr>
          <w:p w14:paraId="5FA8921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296CA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112C5EF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w:t>
            </w:r>
          </w:p>
        </w:tc>
        <w:tc>
          <w:tcPr>
            <w:tcW w:w="2630" w:type="dxa"/>
            <w:tcBorders>
              <w:top w:val="single" w:color="auto" w:sz="4" w:space="0"/>
              <w:left w:val="single" w:color="auto" w:sz="4" w:space="0"/>
              <w:bottom w:val="single" w:color="auto" w:sz="4" w:space="0"/>
              <w:right w:val="single" w:color="auto" w:sz="4" w:space="0"/>
            </w:tcBorders>
            <w:vAlign w:val="bottom"/>
          </w:tcPr>
          <w:p w14:paraId="7E17AD0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0E00688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925" w:type="dxa"/>
            <w:tcBorders>
              <w:top w:val="single" w:color="auto" w:sz="4" w:space="0"/>
              <w:left w:val="single" w:color="auto" w:sz="4" w:space="0"/>
              <w:bottom w:val="single" w:color="auto" w:sz="4" w:space="0"/>
              <w:right w:val="single" w:color="auto" w:sz="4" w:space="0"/>
            </w:tcBorders>
            <w:vAlign w:val="bottom"/>
          </w:tcPr>
          <w:p w14:paraId="118480B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DE27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vAlign w:val="center"/>
          </w:tcPr>
          <w:p w14:paraId="1DD4049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w:t>
            </w:r>
          </w:p>
        </w:tc>
        <w:tc>
          <w:tcPr>
            <w:tcW w:w="2630" w:type="dxa"/>
            <w:tcBorders>
              <w:top w:val="single" w:color="auto" w:sz="4" w:space="0"/>
              <w:left w:val="single" w:color="auto" w:sz="4" w:space="0"/>
              <w:bottom w:val="single" w:color="auto" w:sz="4" w:space="0"/>
              <w:right w:val="single" w:color="auto" w:sz="4" w:space="0"/>
            </w:tcBorders>
            <w:vAlign w:val="bottom"/>
          </w:tcPr>
          <w:p w14:paraId="1F4DE50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7B69A44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925" w:type="dxa"/>
            <w:tcBorders>
              <w:top w:val="single" w:color="auto" w:sz="4" w:space="0"/>
              <w:left w:val="single" w:color="auto" w:sz="4" w:space="0"/>
              <w:bottom w:val="single" w:color="auto" w:sz="4" w:space="0"/>
              <w:right w:val="single" w:color="auto" w:sz="4" w:space="0"/>
            </w:tcBorders>
            <w:vAlign w:val="bottom"/>
          </w:tcPr>
          <w:p w14:paraId="1FF5E9C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6B344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vAlign w:val="center"/>
          </w:tcPr>
          <w:p w14:paraId="267ED19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w:t>
            </w:r>
          </w:p>
        </w:tc>
        <w:tc>
          <w:tcPr>
            <w:tcW w:w="2630" w:type="dxa"/>
            <w:tcBorders>
              <w:top w:val="single" w:color="auto" w:sz="4" w:space="0"/>
              <w:left w:val="single" w:color="auto" w:sz="4" w:space="0"/>
              <w:bottom w:val="single" w:color="auto" w:sz="4" w:space="0"/>
              <w:right w:val="single" w:color="auto" w:sz="4" w:space="0"/>
            </w:tcBorders>
            <w:vAlign w:val="bottom"/>
          </w:tcPr>
          <w:p w14:paraId="7D29D9B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3BD2061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925" w:type="dxa"/>
            <w:tcBorders>
              <w:top w:val="single" w:color="auto" w:sz="4" w:space="0"/>
              <w:left w:val="single" w:color="auto" w:sz="4" w:space="0"/>
              <w:bottom w:val="single" w:color="auto" w:sz="4" w:space="0"/>
              <w:right w:val="single" w:color="auto" w:sz="4" w:space="0"/>
            </w:tcBorders>
            <w:vAlign w:val="bottom"/>
          </w:tcPr>
          <w:p w14:paraId="1F0AC93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C183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3846920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6</w:t>
            </w:r>
          </w:p>
        </w:tc>
        <w:tc>
          <w:tcPr>
            <w:tcW w:w="2630" w:type="dxa"/>
            <w:tcBorders>
              <w:top w:val="single" w:color="auto" w:sz="4" w:space="0"/>
              <w:left w:val="single" w:color="auto" w:sz="4" w:space="0"/>
              <w:bottom w:val="single" w:color="auto" w:sz="4" w:space="0"/>
              <w:right w:val="single" w:color="auto" w:sz="4" w:space="0"/>
            </w:tcBorders>
            <w:vAlign w:val="bottom"/>
          </w:tcPr>
          <w:p w14:paraId="1A140F9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777FD2E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925" w:type="dxa"/>
            <w:tcBorders>
              <w:top w:val="single" w:color="auto" w:sz="4" w:space="0"/>
              <w:left w:val="single" w:color="auto" w:sz="4" w:space="0"/>
              <w:bottom w:val="single" w:color="auto" w:sz="4" w:space="0"/>
              <w:right w:val="single" w:color="auto" w:sz="4" w:space="0"/>
            </w:tcBorders>
            <w:vAlign w:val="bottom"/>
          </w:tcPr>
          <w:p w14:paraId="26A319D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D78F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57A4737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w:t>
            </w:r>
          </w:p>
        </w:tc>
        <w:tc>
          <w:tcPr>
            <w:tcW w:w="2630" w:type="dxa"/>
            <w:tcBorders>
              <w:top w:val="single" w:color="auto" w:sz="4" w:space="0"/>
              <w:left w:val="single" w:color="auto" w:sz="4" w:space="0"/>
              <w:bottom w:val="single" w:color="auto" w:sz="4" w:space="0"/>
              <w:right w:val="single" w:color="auto" w:sz="4" w:space="0"/>
            </w:tcBorders>
            <w:vAlign w:val="bottom"/>
          </w:tcPr>
          <w:p w14:paraId="1F0679D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0AD53B9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925" w:type="dxa"/>
            <w:tcBorders>
              <w:top w:val="single" w:color="auto" w:sz="4" w:space="0"/>
              <w:left w:val="single" w:color="auto" w:sz="4" w:space="0"/>
              <w:bottom w:val="single" w:color="auto" w:sz="4" w:space="0"/>
              <w:right w:val="single" w:color="auto" w:sz="4" w:space="0"/>
            </w:tcBorders>
            <w:vAlign w:val="bottom"/>
          </w:tcPr>
          <w:p w14:paraId="4CE405E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bl>
    <w:p w14:paraId="38CEC04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(2)询价采购的网络服务平台为：</w:t>
      </w:r>
    </w:p>
    <w:p w14:paraId="1802E65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ab/>
      </w:r>
      <w:r>
        <w:rPr>
          <w:rFonts w:hint="eastAsia" w:ascii="仿宋_GB2312" w:hAnsi="仿宋_GB2312" w:eastAsia="仿宋_GB2312" w:cs="仿宋_GB2312"/>
          <w:bCs/>
          <w:snapToGrid w:val="0"/>
          <w:kern w:val="0"/>
          <w:sz w:val="28"/>
          <w:szCs w:val="28"/>
          <w:highlight w:val="none"/>
        </w:rPr>
        <w:t>http://xj.jiaoyi365.com（筑龙）；</w:t>
      </w:r>
    </w:p>
    <w:p w14:paraId="6D93431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ab/>
      </w:r>
      <w:r>
        <w:rPr>
          <w:rFonts w:hint="eastAsia" w:ascii="仿宋_GB2312" w:hAnsi="仿宋_GB2312" w:eastAsia="仿宋_GB2312" w:cs="仿宋_GB2312"/>
          <w:bCs/>
          <w:snapToGrid w:val="0"/>
          <w:kern w:val="0"/>
          <w:sz w:val="28"/>
          <w:szCs w:val="28"/>
          <w:highlight w:val="none"/>
        </w:rPr>
        <w:t>http://www.51xjcg.com（斯维尔）；</w:t>
      </w:r>
    </w:p>
    <w:p w14:paraId="462371DD">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注：深圳市住房和建设局通过公开招标确定并授予北京筑龙信息技术有限责任公司、深圳市斯维尔科技有限公司两家单位深圳市建设工程材料设备询价采购网络服务平台的特许经营权。</w:t>
      </w:r>
    </w:p>
    <w:p w14:paraId="601B27D3">
      <w:pPr>
        <w:pageBreakBefore w:val="0"/>
        <w:kinsoku/>
        <w:overflowPunct/>
        <w:topLinePunct w:val="0"/>
        <w:autoSpaceDE/>
        <w:autoSpaceDN/>
        <w:bidi w:val="0"/>
        <w:adjustRightInd w:val="0"/>
        <w:snapToGrid w:val="0"/>
        <w:spacing w:line="560" w:lineRule="exact"/>
        <w:ind w:left="0" w:leftChars="0" w:right="0" w:rightChars="0" w:firstLine="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(3)①询价采购小组的组成和成立流程等要求为：</w:t>
      </w:r>
      <w:r>
        <w:rPr>
          <w:rFonts w:hint="eastAsia" w:ascii="仿宋_GB2312" w:hAnsi="仿宋_GB2312" w:eastAsia="仿宋_GB2312" w:cs="仿宋_GB2312"/>
          <w:bCs/>
          <w:snapToGrid w:val="0"/>
          <w:kern w:val="0"/>
          <w:sz w:val="28"/>
          <w:szCs w:val="28"/>
          <w:highlight w:val="none"/>
          <w:u w:val="single"/>
        </w:rPr>
        <w:t xml:space="preserve">                              </w:t>
      </w:r>
    </w:p>
    <w:p w14:paraId="5F096B97">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95BE3D4">
      <w:pPr>
        <w:pageBreakBefore w:val="0"/>
        <w:kinsoku/>
        <w:overflowPunct/>
        <w:topLinePunct w:val="0"/>
        <w:autoSpaceDE/>
        <w:autoSpaceDN/>
        <w:bidi w:val="0"/>
        <w:adjustRightInd w:val="0"/>
        <w:snapToGrid w:val="0"/>
        <w:spacing w:line="560" w:lineRule="exact"/>
        <w:ind w:left="0" w:leftChars="0" w:right="0" w:rightChars="0" w:firstLine="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②询价采购文件编制和审核流程等要求为：</w:t>
      </w:r>
      <w:r>
        <w:rPr>
          <w:rFonts w:hint="eastAsia" w:ascii="仿宋_GB2312" w:hAnsi="仿宋_GB2312" w:eastAsia="仿宋_GB2312" w:cs="仿宋_GB2312"/>
          <w:bCs/>
          <w:snapToGrid w:val="0"/>
          <w:kern w:val="0"/>
          <w:sz w:val="28"/>
          <w:szCs w:val="28"/>
          <w:highlight w:val="none"/>
          <w:u w:val="none"/>
        </w:rPr>
        <w:t xml:space="preserve"> </w:t>
      </w:r>
      <w:r>
        <w:rPr>
          <w:rFonts w:hint="eastAsia" w:ascii="仿宋_GB2312" w:hAnsi="仿宋_GB2312" w:eastAsia="仿宋_GB2312" w:cs="仿宋_GB2312"/>
          <w:bCs/>
          <w:snapToGrid w:val="0"/>
          <w:kern w:val="0"/>
          <w:sz w:val="28"/>
          <w:szCs w:val="28"/>
          <w:highlight w:val="none"/>
          <w:u w:val="single"/>
        </w:rPr>
        <w:t xml:space="preserve">                                 </w:t>
      </w:r>
    </w:p>
    <w:p w14:paraId="68878E5B">
      <w:pPr>
        <w:pageBreakBefore w:val="0"/>
        <w:kinsoku/>
        <w:overflowPunct/>
        <w:topLinePunct w:val="0"/>
        <w:autoSpaceDE/>
        <w:autoSpaceDN/>
        <w:bidi w:val="0"/>
        <w:adjustRightInd w:val="0"/>
        <w:snapToGrid w:val="0"/>
        <w:spacing w:line="560" w:lineRule="exact"/>
        <w:ind w:left="0" w:leftChars="0" w:right="0" w:rightChars="0"/>
        <w:textAlignment w:val="auto"/>
        <w:rPr>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u w:val="none"/>
        </w:rPr>
        <w:t xml:space="preserve">            </w:t>
      </w:r>
    </w:p>
    <w:p w14:paraId="354146DD">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619" w:name="_Toc492905278"/>
      <w:bookmarkStart w:id="620" w:name="_Toc302636013"/>
      <w:bookmarkStart w:id="621" w:name="_Toc14641"/>
      <w:r>
        <w:rPr>
          <w:rFonts w:hint="eastAsia" w:ascii="仿宋_GB2312" w:hAnsi="仿宋_GB2312" w:eastAsia="仿宋_GB2312" w:cs="仿宋_GB2312"/>
          <w:b/>
          <w:bCs w:val="0"/>
          <w:snapToGrid w:val="0"/>
          <w:kern w:val="0"/>
          <w:sz w:val="28"/>
          <w:szCs w:val="28"/>
          <w:highlight w:val="none"/>
        </w:rPr>
        <w:t>21暂估价和暂列金额</w:t>
      </w:r>
      <w:bookmarkEnd w:id="619"/>
      <w:bookmarkEnd w:id="620"/>
      <w:bookmarkEnd w:id="621"/>
    </w:p>
    <w:p w14:paraId="03A8127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22" w:name="_Toc217"/>
      <w:bookmarkStart w:id="623" w:name="_Toc302636014"/>
      <w:bookmarkStart w:id="624" w:name="_Toc492905279"/>
      <w:r>
        <w:rPr>
          <w:rFonts w:hint="eastAsia" w:ascii="仿宋_GB2312" w:hAnsi="仿宋_GB2312" w:eastAsia="仿宋_GB2312" w:cs="仿宋_GB2312"/>
          <w:b/>
          <w:sz w:val="28"/>
          <w:szCs w:val="28"/>
          <w:highlight w:val="none"/>
          <w:lang w:val="en-US" w:eastAsia="zh-CN"/>
        </w:rPr>
        <w:t>21.1材料设备暂估价</w:t>
      </w:r>
      <w:bookmarkEnd w:id="622"/>
      <w:bookmarkEnd w:id="623"/>
      <w:bookmarkEnd w:id="624"/>
    </w:p>
    <w:p w14:paraId="4C9BE0D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(1)本工程暂估的材料设备的名称、规格、单位和暂估单价见下表：   (本表可另附页) </w:t>
      </w:r>
    </w:p>
    <w:tbl>
      <w:tblPr>
        <w:tblStyle w:val="45"/>
        <w:tblW w:w="855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630"/>
        <w:gridCol w:w="2288"/>
        <w:gridCol w:w="900"/>
        <w:gridCol w:w="2074"/>
      </w:tblGrid>
      <w:tr w14:paraId="71830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vAlign w:val="center"/>
          </w:tcPr>
          <w:p w14:paraId="67878E5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序号</w:t>
            </w:r>
          </w:p>
        </w:tc>
        <w:tc>
          <w:tcPr>
            <w:tcW w:w="2630" w:type="dxa"/>
            <w:tcBorders>
              <w:top w:val="single" w:color="auto" w:sz="4" w:space="0"/>
              <w:left w:val="single" w:color="auto" w:sz="4" w:space="0"/>
              <w:bottom w:val="single" w:color="auto" w:sz="4" w:space="0"/>
              <w:right w:val="single" w:color="auto" w:sz="4" w:space="0"/>
            </w:tcBorders>
            <w:vAlign w:val="center"/>
          </w:tcPr>
          <w:p w14:paraId="1426A7A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暂估的材料设备名称</w:t>
            </w:r>
          </w:p>
        </w:tc>
        <w:tc>
          <w:tcPr>
            <w:tcW w:w="2288" w:type="dxa"/>
            <w:tcBorders>
              <w:top w:val="single" w:color="auto" w:sz="4" w:space="0"/>
              <w:left w:val="single" w:color="auto" w:sz="4" w:space="0"/>
              <w:bottom w:val="single" w:color="auto" w:sz="4" w:space="0"/>
              <w:right w:val="single" w:color="auto" w:sz="4" w:space="0"/>
            </w:tcBorders>
            <w:vAlign w:val="center"/>
          </w:tcPr>
          <w:p w14:paraId="77CBFCB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规格</w:t>
            </w:r>
          </w:p>
        </w:tc>
        <w:tc>
          <w:tcPr>
            <w:tcW w:w="900" w:type="dxa"/>
            <w:tcBorders>
              <w:top w:val="single" w:color="auto" w:sz="4" w:space="0"/>
              <w:left w:val="single" w:color="auto" w:sz="4" w:space="0"/>
              <w:bottom w:val="single" w:color="auto" w:sz="4" w:space="0"/>
              <w:right w:val="single" w:color="auto" w:sz="4" w:space="0"/>
            </w:tcBorders>
            <w:vAlign w:val="center"/>
          </w:tcPr>
          <w:p w14:paraId="1244818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单位</w:t>
            </w:r>
          </w:p>
        </w:tc>
        <w:tc>
          <w:tcPr>
            <w:tcW w:w="2074" w:type="dxa"/>
            <w:tcBorders>
              <w:top w:val="single" w:color="auto" w:sz="4" w:space="0"/>
              <w:left w:val="single" w:color="auto" w:sz="4" w:space="0"/>
              <w:bottom w:val="single" w:color="auto" w:sz="4" w:space="0"/>
              <w:right w:val="single" w:color="auto" w:sz="4" w:space="0"/>
            </w:tcBorders>
            <w:vAlign w:val="center"/>
          </w:tcPr>
          <w:p w14:paraId="5D3015C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暂估单价（元）</w:t>
            </w:r>
          </w:p>
        </w:tc>
      </w:tr>
      <w:tr w14:paraId="4CC74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vAlign w:val="center"/>
          </w:tcPr>
          <w:p w14:paraId="2BC07AA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w:t>
            </w:r>
          </w:p>
        </w:tc>
        <w:tc>
          <w:tcPr>
            <w:tcW w:w="2630" w:type="dxa"/>
            <w:tcBorders>
              <w:top w:val="single" w:color="auto" w:sz="4" w:space="0"/>
              <w:left w:val="single" w:color="auto" w:sz="4" w:space="0"/>
              <w:bottom w:val="single" w:color="auto" w:sz="4" w:space="0"/>
              <w:right w:val="single" w:color="auto" w:sz="4" w:space="0"/>
            </w:tcBorders>
            <w:vAlign w:val="bottom"/>
          </w:tcPr>
          <w:p w14:paraId="05D1FDD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08554A1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14:paraId="0CEDE63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14:paraId="1DD1D9D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77AF5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vAlign w:val="center"/>
          </w:tcPr>
          <w:p w14:paraId="127733F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w:t>
            </w:r>
          </w:p>
        </w:tc>
        <w:tc>
          <w:tcPr>
            <w:tcW w:w="2630" w:type="dxa"/>
            <w:tcBorders>
              <w:top w:val="single" w:color="auto" w:sz="4" w:space="0"/>
              <w:left w:val="single" w:color="auto" w:sz="4" w:space="0"/>
              <w:bottom w:val="single" w:color="auto" w:sz="4" w:space="0"/>
              <w:right w:val="single" w:color="auto" w:sz="4" w:space="0"/>
            </w:tcBorders>
            <w:vAlign w:val="bottom"/>
          </w:tcPr>
          <w:p w14:paraId="67CA08D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5F4D99A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14:paraId="788770B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14:paraId="33B0B47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2FC1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vAlign w:val="center"/>
          </w:tcPr>
          <w:p w14:paraId="51B2835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w:t>
            </w:r>
          </w:p>
        </w:tc>
        <w:tc>
          <w:tcPr>
            <w:tcW w:w="2630" w:type="dxa"/>
            <w:tcBorders>
              <w:top w:val="single" w:color="auto" w:sz="4" w:space="0"/>
              <w:left w:val="single" w:color="auto" w:sz="4" w:space="0"/>
              <w:bottom w:val="single" w:color="auto" w:sz="4" w:space="0"/>
              <w:right w:val="single" w:color="auto" w:sz="4" w:space="0"/>
            </w:tcBorders>
            <w:vAlign w:val="bottom"/>
          </w:tcPr>
          <w:p w14:paraId="007F748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019E28E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14:paraId="14B649E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14:paraId="39CE197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6A19E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vAlign w:val="center"/>
          </w:tcPr>
          <w:p w14:paraId="454CFB0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w:t>
            </w:r>
          </w:p>
        </w:tc>
        <w:tc>
          <w:tcPr>
            <w:tcW w:w="2630" w:type="dxa"/>
            <w:tcBorders>
              <w:top w:val="single" w:color="auto" w:sz="4" w:space="0"/>
              <w:left w:val="single" w:color="auto" w:sz="4" w:space="0"/>
              <w:bottom w:val="single" w:color="auto" w:sz="4" w:space="0"/>
              <w:right w:val="single" w:color="auto" w:sz="4" w:space="0"/>
            </w:tcBorders>
            <w:vAlign w:val="bottom"/>
          </w:tcPr>
          <w:p w14:paraId="34AF48A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405CC56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14:paraId="5FF2869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14:paraId="46AC751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64244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vAlign w:val="center"/>
          </w:tcPr>
          <w:p w14:paraId="36A6548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w:t>
            </w:r>
          </w:p>
        </w:tc>
        <w:tc>
          <w:tcPr>
            <w:tcW w:w="2630" w:type="dxa"/>
            <w:tcBorders>
              <w:top w:val="single" w:color="auto" w:sz="4" w:space="0"/>
              <w:left w:val="single" w:color="auto" w:sz="4" w:space="0"/>
              <w:bottom w:val="single" w:color="auto" w:sz="4" w:space="0"/>
              <w:right w:val="single" w:color="auto" w:sz="4" w:space="0"/>
            </w:tcBorders>
            <w:vAlign w:val="bottom"/>
          </w:tcPr>
          <w:p w14:paraId="396EE49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5EF39B8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14:paraId="544AB90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14:paraId="27ECC95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1BD5F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2AA025E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6</w:t>
            </w:r>
          </w:p>
        </w:tc>
        <w:tc>
          <w:tcPr>
            <w:tcW w:w="2630" w:type="dxa"/>
            <w:tcBorders>
              <w:top w:val="single" w:color="auto" w:sz="4" w:space="0"/>
              <w:left w:val="single" w:color="auto" w:sz="4" w:space="0"/>
              <w:bottom w:val="single" w:color="auto" w:sz="4" w:space="0"/>
              <w:right w:val="single" w:color="auto" w:sz="4" w:space="0"/>
            </w:tcBorders>
            <w:vAlign w:val="bottom"/>
          </w:tcPr>
          <w:p w14:paraId="7741702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71B1CA3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14:paraId="77A0CED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14:paraId="12482DF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36A53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vAlign w:val="center"/>
          </w:tcPr>
          <w:p w14:paraId="550AF08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w:t>
            </w:r>
          </w:p>
        </w:tc>
        <w:tc>
          <w:tcPr>
            <w:tcW w:w="2630" w:type="dxa"/>
            <w:tcBorders>
              <w:top w:val="single" w:color="auto" w:sz="4" w:space="0"/>
              <w:left w:val="single" w:color="auto" w:sz="4" w:space="0"/>
              <w:bottom w:val="single" w:color="auto" w:sz="4" w:space="0"/>
              <w:right w:val="single" w:color="auto" w:sz="4" w:space="0"/>
            </w:tcBorders>
            <w:vAlign w:val="bottom"/>
          </w:tcPr>
          <w:p w14:paraId="47DCBCB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288" w:type="dxa"/>
            <w:tcBorders>
              <w:top w:val="single" w:color="auto" w:sz="4" w:space="0"/>
              <w:left w:val="single" w:color="auto" w:sz="4" w:space="0"/>
              <w:bottom w:val="single" w:color="auto" w:sz="4" w:space="0"/>
              <w:right w:val="single" w:color="auto" w:sz="4" w:space="0"/>
            </w:tcBorders>
            <w:vAlign w:val="bottom"/>
          </w:tcPr>
          <w:p w14:paraId="0ADC167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vAlign w:val="bottom"/>
          </w:tcPr>
          <w:p w14:paraId="6A684B3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074" w:type="dxa"/>
            <w:tcBorders>
              <w:top w:val="single" w:color="auto" w:sz="4" w:space="0"/>
              <w:left w:val="single" w:color="auto" w:sz="4" w:space="0"/>
              <w:bottom w:val="single" w:color="auto" w:sz="4" w:space="0"/>
              <w:right w:val="single" w:color="auto" w:sz="4" w:space="0"/>
            </w:tcBorders>
            <w:vAlign w:val="bottom"/>
          </w:tcPr>
          <w:p w14:paraId="047B75E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bl>
    <w:p w14:paraId="0C68FB78">
      <w:pPr>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eastAsia" w:ascii="仿宋" w:hAnsi="仿宋" w:eastAsia="仿宋" w:cs="仿宋"/>
          <w:sz w:val="28"/>
          <w:szCs w:val="28"/>
          <w:highlight w:val="none"/>
        </w:rPr>
      </w:pPr>
      <w:bookmarkStart w:id="625" w:name="_Toc492905280"/>
      <w:bookmarkStart w:id="626" w:name="_Toc302636015"/>
      <w:r>
        <w:rPr>
          <w:rFonts w:hint="eastAsia" w:ascii="仿宋" w:hAnsi="仿宋" w:eastAsia="仿宋" w:cs="仿宋"/>
          <w:sz w:val="28"/>
          <w:szCs w:val="28"/>
          <w:highlight w:val="none"/>
        </w:rPr>
        <w:t>(3)如21.1⑴款所述暂估的材料设备不属于按规定必须招标的，按照以下方式确定该材料设备单价：</w:t>
      </w:r>
      <w:r>
        <w:rPr>
          <w:rFonts w:hint="eastAsia" w:ascii="仿宋" w:hAnsi="仿宋" w:eastAsia="仿宋" w:cs="仿宋"/>
          <w:bCs/>
          <w:sz w:val="28"/>
          <w:szCs w:val="28"/>
          <w:highlight w:val="none"/>
          <w:u w:val="single"/>
        </w:rPr>
        <w:t xml:space="preserve">                                                            </w:t>
      </w:r>
    </w:p>
    <w:p w14:paraId="4CE630A0">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p>
    <w:p w14:paraId="1A8C3466">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u w:val="single"/>
        </w:rPr>
        <w:t xml:space="preserve">                                                                            </w:t>
      </w:r>
    </w:p>
    <w:p w14:paraId="442C733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27" w:name="_Toc20111"/>
      <w:r>
        <w:rPr>
          <w:rFonts w:hint="eastAsia" w:ascii="仿宋_GB2312" w:hAnsi="仿宋_GB2312" w:eastAsia="仿宋_GB2312" w:cs="仿宋_GB2312"/>
          <w:b/>
          <w:sz w:val="28"/>
          <w:szCs w:val="28"/>
          <w:highlight w:val="none"/>
          <w:lang w:val="en-US" w:eastAsia="zh-CN"/>
        </w:rPr>
        <w:t>21.2专业工程暂估价</w:t>
      </w:r>
      <w:bookmarkEnd w:id="614"/>
      <w:bookmarkEnd w:id="625"/>
      <w:bookmarkEnd w:id="626"/>
      <w:bookmarkEnd w:id="627"/>
    </w:p>
    <w:p w14:paraId="48D9CF0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(1)本工程暂估的专业工程的名称和暂估价款：</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(本表可另附页)</w:t>
      </w:r>
    </w:p>
    <w:tbl>
      <w:tblPr>
        <w:tblStyle w:val="45"/>
        <w:tblW w:w="84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5040"/>
        <w:gridCol w:w="2520"/>
      </w:tblGrid>
      <w:tr w14:paraId="54A11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14:paraId="09CA0F8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序号</w:t>
            </w:r>
          </w:p>
        </w:tc>
        <w:tc>
          <w:tcPr>
            <w:tcW w:w="5040" w:type="dxa"/>
            <w:tcBorders>
              <w:top w:val="single" w:color="auto" w:sz="4" w:space="0"/>
              <w:left w:val="single" w:color="auto" w:sz="4" w:space="0"/>
              <w:bottom w:val="single" w:color="auto" w:sz="4" w:space="0"/>
              <w:right w:val="single" w:color="auto" w:sz="4" w:space="0"/>
            </w:tcBorders>
            <w:vAlign w:val="center"/>
          </w:tcPr>
          <w:p w14:paraId="2288AA5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暂估的专业工程名称</w:t>
            </w:r>
          </w:p>
        </w:tc>
        <w:tc>
          <w:tcPr>
            <w:tcW w:w="2520" w:type="dxa"/>
            <w:tcBorders>
              <w:top w:val="single" w:color="auto" w:sz="4" w:space="0"/>
              <w:left w:val="single" w:color="auto" w:sz="4" w:space="0"/>
              <w:bottom w:val="single" w:color="auto" w:sz="4" w:space="0"/>
              <w:right w:val="single" w:color="auto" w:sz="4" w:space="0"/>
            </w:tcBorders>
            <w:vAlign w:val="center"/>
          </w:tcPr>
          <w:p w14:paraId="3BCC614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暂估价款(万元)</w:t>
            </w:r>
          </w:p>
        </w:tc>
      </w:tr>
      <w:tr w14:paraId="344BC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00" w:type="dxa"/>
            <w:tcBorders>
              <w:top w:val="single" w:color="auto" w:sz="4" w:space="0"/>
              <w:left w:val="single" w:color="auto" w:sz="4" w:space="0"/>
              <w:bottom w:val="single" w:color="auto" w:sz="4" w:space="0"/>
              <w:right w:val="single" w:color="auto" w:sz="4" w:space="0"/>
            </w:tcBorders>
            <w:vAlign w:val="center"/>
          </w:tcPr>
          <w:p w14:paraId="63BC4AD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w:t>
            </w:r>
          </w:p>
        </w:tc>
        <w:tc>
          <w:tcPr>
            <w:tcW w:w="5040" w:type="dxa"/>
            <w:tcBorders>
              <w:top w:val="single" w:color="auto" w:sz="4" w:space="0"/>
              <w:left w:val="single" w:color="auto" w:sz="4" w:space="0"/>
              <w:bottom w:val="single" w:color="auto" w:sz="4" w:space="0"/>
              <w:right w:val="single" w:color="auto" w:sz="4" w:space="0"/>
            </w:tcBorders>
            <w:vAlign w:val="bottom"/>
          </w:tcPr>
          <w:p w14:paraId="622B348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520" w:type="dxa"/>
            <w:tcBorders>
              <w:top w:val="single" w:color="auto" w:sz="4" w:space="0"/>
              <w:left w:val="single" w:color="auto" w:sz="4" w:space="0"/>
              <w:bottom w:val="single" w:color="auto" w:sz="4" w:space="0"/>
              <w:right w:val="single" w:color="auto" w:sz="4" w:space="0"/>
            </w:tcBorders>
            <w:vAlign w:val="bottom"/>
          </w:tcPr>
          <w:p w14:paraId="16B5F7F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F9C1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900" w:type="dxa"/>
            <w:tcBorders>
              <w:top w:val="single" w:color="auto" w:sz="4" w:space="0"/>
              <w:left w:val="single" w:color="auto" w:sz="4" w:space="0"/>
              <w:bottom w:val="single" w:color="auto" w:sz="4" w:space="0"/>
              <w:right w:val="single" w:color="auto" w:sz="4" w:space="0"/>
            </w:tcBorders>
            <w:vAlign w:val="center"/>
          </w:tcPr>
          <w:p w14:paraId="34DB956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w:t>
            </w:r>
          </w:p>
        </w:tc>
        <w:tc>
          <w:tcPr>
            <w:tcW w:w="5040" w:type="dxa"/>
            <w:tcBorders>
              <w:top w:val="single" w:color="auto" w:sz="4" w:space="0"/>
              <w:left w:val="single" w:color="auto" w:sz="4" w:space="0"/>
              <w:bottom w:val="single" w:color="auto" w:sz="4" w:space="0"/>
              <w:right w:val="single" w:color="auto" w:sz="4" w:space="0"/>
            </w:tcBorders>
            <w:vAlign w:val="bottom"/>
          </w:tcPr>
          <w:p w14:paraId="4EBAA28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520" w:type="dxa"/>
            <w:tcBorders>
              <w:top w:val="single" w:color="auto" w:sz="4" w:space="0"/>
              <w:left w:val="single" w:color="auto" w:sz="4" w:space="0"/>
              <w:bottom w:val="single" w:color="auto" w:sz="4" w:space="0"/>
              <w:right w:val="single" w:color="auto" w:sz="4" w:space="0"/>
            </w:tcBorders>
            <w:vAlign w:val="bottom"/>
          </w:tcPr>
          <w:p w14:paraId="6DE0719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3E84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900" w:type="dxa"/>
            <w:tcBorders>
              <w:top w:val="single" w:color="auto" w:sz="4" w:space="0"/>
              <w:left w:val="single" w:color="auto" w:sz="4" w:space="0"/>
              <w:bottom w:val="single" w:color="auto" w:sz="4" w:space="0"/>
              <w:right w:val="single" w:color="auto" w:sz="4" w:space="0"/>
            </w:tcBorders>
            <w:vAlign w:val="center"/>
          </w:tcPr>
          <w:p w14:paraId="1212F67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w:t>
            </w:r>
          </w:p>
        </w:tc>
        <w:tc>
          <w:tcPr>
            <w:tcW w:w="5040" w:type="dxa"/>
            <w:tcBorders>
              <w:top w:val="single" w:color="auto" w:sz="4" w:space="0"/>
              <w:left w:val="single" w:color="auto" w:sz="4" w:space="0"/>
              <w:bottom w:val="single" w:color="auto" w:sz="4" w:space="0"/>
              <w:right w:val="single" w:color="auto" w:sz="4" w:space="0"/>
            </w:tcBorders>
            <w:vAlign w:val="bottom"/>
          </w:tcPr>
          <w:p w14:paraId="598EFFF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520" w:type="dxa"/>
            <w:tcBorders>
              <w:top w:val="single" w:color="auto" w:sz="4" w:space="0"/>
              <w:left w:val="single" w:color="auto" w:sz="4" w:space="0"/>
              <w:bottom w:val="single" w:color="auto" w:sz="4" w:space="0"/>
              <w:right w:val="single" w:color="auto" w:sz="4" w:space="0"/>
            </w:tcBorders>
            <w:vAlign w:val="bottom"/>
          </w:tcPr>
          <w:p w14:paraId="00B615F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7059F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vAlign w:val="center"/>
          </w:tcPr>
          <w:p w14:paraId="6463DFD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w:t>
            </w:r>
          </w:p>
        </w:tc>
        <w:tc>
          <w:tcPr>
            <w:tcW w:w="5040" w:type="dxa"/>
            <w:tcBorders>
              <w:top w:val="single" w:color="auto" w:sz="4" w:space="0"/>
              <w:left w:val="single" w:color="auto" w:sz="4" w:space="0"/>
              <w:bottom w:val="single" w:color="auto" w:sz="4" w:space="0"/>
              <w:right w:val="single" w:color="auto" w:sz="4" w:space="0"/>
            </w:tcBorders>
            <w:vAlign w:val="bottom"/>
          </w:tcPr>
          <w:p w14:paraId="53B2461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520" w:type="dxa"/>
            <w:tcBorders>
              <w:top w:val="single" w:color="auto" w:sz="4" w:space="0"/>
              <w:left w:val="single" w:color="auto" w:sz="4" w:space="0"/>
              <w:bottom w:val="single" w:color="auto" w:sz="4" w:space="0"/>
              <w:right w:val="single" w:color="auto" w:sz="4" w:space="0"/>
            </w:tcBorders>
            <w:vAlign w:val="bottom"/>
          </w:tcPr>
          <w:p w14:paraId="70660A9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77C12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00" w:type="dxa"/>
            <w:tcBorders>
              <w:top w:val="single" w:color="auto" w:sz="4" w:space="0"/>
              <w:left w:val="single" w:color="auto" w:sz="4" w:space="0"/>
              <w:bottom w:val="single" w:color="auto" w:sz="4" w:space="0"/>
              <w:right w:val="single" w:color="auto" w:sz="4" w:space="0"/>
            </w:tcBorders>
            <w:vAlign w:val="center"/>
          </w:tcPr>
          <w:p w14:paraId="5337FA9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w:t>
            </w:r>
          </w:p>
        </w:tc>
        <w:tc>
          <w:tcPr>
            <w:tcW w:w="5040" w:type="dxa"/>
            <w:tcBorders>
              <w:top w:val="single" w:color="auto" w:sz="4" w:space="0"/>
              <w:left w:val="single" w:color="auto" w:sz="4" w:space="0"/>
              <w:bottom w:val="single" w:color="auto" w:sz="4" w:space="0"/>
              <w:right w:val="single" w:color="auto" w:sz="4" w:space="0"/>
            </w:tcBorders>
            <w:vAlign w:val="bottom"/>
          </w:tcPr>
          <w:p w14:paraId="253274E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520" w:type="dxa"/>
            <w:tcBorders>
              <w:top w:val="single" w:color="auto" w:sz="4" w:space="0"/>
              <w:left w:val="single" w:color="auto" w:sz="4" w:space="0"/>
              <w:bottom w:val="single" w:color="auto" w:sz="4" w:space="0"/>
              <w:right w:val="single" w:color="auto" w:sz="4" w:space="0"/>
            </w:tcBorders>
            <w:vAlign w:val="bottom"/>
          </w:tcPr>
          <w:p w14:paraId="43FEB60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00464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00" w:type="dxa"/>
            <w:tcBorders>
              <w:top w:val="single" w:color="auto" w:sz="4" w:space="0"/>
              <w:left w:val="single" w:color="auto" w:sz="4" w:space="0"/>
              <w:bottom w:val="single" w:color="auto" w:sz="4" w:space="0"/>
              <w:right w:val="single" w:color="auto" w:sz="4" w:space="0"/>
            </w:tcBorders>
            <w:vAlign w:val="center"/>
          </w:tcPr>
          <w:p w14:paraId="34DE782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w:t>
            </w:r>
          </w:p>
        </w:tc>
        <w:tc>
          <w:tcPr>
            <w:tcW w:w="5040" w:type="dxa"/>
            <w:tcBorders>
              <w:top w:val="single" w:color="auto" w:sz="4" w:space="0"/>
              <w:left w:val="single" w:color="auto" w:sz="4" w:space="0"/>
              <w:bottom w:val="single" w:color="auto" w:sz="4" w:space="0"/>
              <w:right w:val="single" w:color="auto" w:sz="4" w:space="0"/>
            </w:tcBorders>
            <w:vAlign w:val="bottom"/>
          </w:tcPr>
          <w:p w14:paraId="48CBB52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520" w:type="dxa"/>
            <w:tcBorders>
              <w:top w:val="single" w:color="auto" w:sz="4" w:space="0"/>
              <w:left w:val="single" w:color="auto" w:sz="4" w:space="0"/>
              <w:bottom w:val="single" w:color="auto" w:sz="4" w:space="0"/>
              <w:right w:val="single" w:color="auto" w:sz="4" w:space="0"/>
            </w:tcBorders>
            <w:vAlign w:val="bottom"/>
          </w:tcPr>
          <w:p w14:paraId="2328308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r w14:paraId="1AF4D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00" w:type="dxa"/>
            <w:tcBorders>
              <w:top w:val="single" w:color="auto" w:sz="4" w:space="0"/>
              <w:left w:val="single" w:color="auto" w:sz="4" w:space="0"/>
              <w:bottom w:val="single" w:color="auto" w:sz="4" w:space="0"/>
              <w:right w:val="single" w:color="auto" w:sz="4" w:space="0"/>
            </w:tcBorders>
            <w:vAlign w:val="center"/>
          </w:tcPr>
          <w:p w14:paraId="77691D7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合计</w:t>
            </w:r>
          </w:p>
        </w:tc>
        <w:tc>
          <w:tcPr>
            <w:tcW w:w="5040" w:type="dxa"/>
            <w:tcBorders>
              <w:top w:val="single" w:color="auto" w:sz="4" w:space="0"/>
              <w:left w:val="single" w:color="auto" w:sz="4" w:space="0"/>
              <w:bottom w:val="single" w:color="auto" w:sz="4" w:space="0"/>
              <w:right w:val="single" w:color="auto" w:sz="4" w:space="0"/>
            </w:tcBorders>
            <w:vAlign w:val="bottom"/>
          </w:tcPr>
          <w:p w14:paraId="757A245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c>
          <w:tcPr>
            <w:tcW w:w="2520" w:type="dxa"/>
            <w:tcBorders>
              <w:top w:val="single" w:color="auto" w:sz="4" w:space="0"/>
              <w:left w:val="single" w:color="auto" w:sz="4" w:space="0"/>
              <w:bottom w:val="single" w:color="auto" w:sz="4" w:space="0"/>
              <w:right w:val="single" w:color="auto" w:sz="4" w:space="0"/>
            </w:tcBorders>
            <w:vAlign w:val="bottom"/>
          </w:tcPr>
          <w:p w14:paraId="29ACEA4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p>
        </w:tc>
      </w:tr>
    </w:tbl>
    <w:p w14:paraId="352BC27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 (3)不属于按规定必须招标的暂估的专业工程结算价款的确定方法：</w:t>
      </w:r>
      <w:r>
        <w:rPr>
          <w:rFonts w:hint="eastAsia" w:ascii="仿宋_GB2312" w:hAnsi="仿宋_GB2312" w:eastAsia="仿宋_GB2312" w:cs="仿宋_GB2312"/>
          <w:bCs/>
          <w:snapToGrid w:val="0"/>
          <w:kern w:val="0"/>
          <w:sz w:val="28"/>
          <w:szCs w:val="28"/>
          <w:highlight w:val="none"/>
          <w:u w:val="single"/>
        </w:rPr>
        <w:t xml:space="preserve"> </w:t>
      </w:r>
    </w:p>
    <w:p w14:paraId="050EAD7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bookmarkStart w:id="628" w:name="_Toc35656542"/>
      <w:r>
        <w:rPr>
          <w:rFonts w:hint="eastAsia" w:ascii="仿宋_GB2312" w:hAnsi="仿宋_GB2312" w:eastAsia="仿宋_GB2312" w:cs="仿宋_GB2312"/>
          <w:bCs/>
          <w:snapToGrid w:val="0"/>
          <w:kern w:val="0"/>
          <w:sz w:val="28"/>
          <w:szCs w:val="28"/>
          <w:highlight w:val="none"/>
          <w:u w:val="single"/>
        </w:rPr>
        <w:t xml:space="preserve">                                                                </w:t>
      </w:r>
    </w:p>
    <w:p w14:paraId="08389E4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68FD77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BCB0F21">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629" w:name="_Toc302636016"/>
      <w:bookmarkStart w:id="630" w:name="_Toc492905281"/>
      <w:bookmarkStart w:id="631" w:name="_Toc17488"/>
      <w:bookmarkStart w:id="632" w:name="_Toc305331493"/>
      <w:r>
        <w:rPr>
          <w:rFonts w:hint="eastAsia" w:ascii="仿宋_GB2312" w:hAnsi="仿宋_GB2312" w:eastAsia="仿宋_GB2312" w:cs="仿宋_GB2312"/>
          <w:b/>
          <w:bCs w:val="0"/>
          <w:snapToGrid w:val="0"/>
          <w:kern w:val="0"/>
          <w:sz w:val="28"/>
          <w:szCs w:val="28"/>
          <w:highlight w:val="none"/>
        </w:rPr>
        <w:t>22 工程量</w:t>
      </w:r>
      <w:bookmarkEnd w:id="628"/>
      <w:r>
        <w:rPr>
          <w:rFonts w:hint="eastAsia" w:ascii="仿宋_GB2312" w:hAnsi="仿宋_GB2312" w:eastAsia="仿宋_GB2312" w:cs="仿宋_GB2312"/>
          <w:b/>
          <w:bCs w:val="0"/>
          <w:snapToGrid w:val="0"/>
          <w:kern w:val="0"/>
          <w:sz w:val="28"/>
          <w:szCs w:val="28"/>
          <w:highlight w:val="none"/>
        </w:rPr>
        <w:t>计量</w:t>
      </w:r>
      <w:bookmarkEnd w:id="629"/>
      <w:bookmarkEnd w:id="630"/>
      <w:bookmarkEnd w:id="631"/>
      <w:bookmarkEnd w:id="632"/>
    </w:p>
    <w:p w14:paraId="5A4FD8C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33" w:name="_Toc492905282"/>
      <w:bookmarkStart w:id="634" w:name="_Toc8079"/>
      <w:bookmarkStart w:id="635" w:name="_Toc302636017"/>
      <w:bookmarkStart w:id="636" w:name="_Toc305331494"/>
      <w:r>
        <w:rPr>
          <w:rFonts w:hint="eastAsia" w:ascii="仿宋_GB2312" w:hAnsi="仿宋_GB2312" w:eastAsia="仿宋_GB2312" w:cs="仿宋_GB2312"/>
          <w:b/>
          <w:sz w:val="28"/>
          <w:szCs w:val="28"/>
          <w:highlight w:val="none"/>
          <w:lang w:val="en-US" w:eastAsia="zh-CN"/>
        </w:rPr>
        <w:t>22.3工程量计算规则</w:t>
      </w:r>
      <w:bookmarkEnd w:id="633"/>
      <w:bookmarkEnd w:id="634"/>
      <w:bookmarkEnd w:id="635"/>
      <w:bookmarkEnd w:id="636"/>
    </w:p>
    <w:p w14:paraId="6FCF23F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本工程的工程量计算规则采用：</w:t>
      </w:r>
    </w:p>
    <w:p w14:paraId="3A1E672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《建设工程工程量清单计价规范》(GB50500—2013)；</w:t>
      </w:r>
    </w:p>
    <w:p w14:paraId="77CAC95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《深圳市建设工程计价规程》（2017）；</w:t>
      </w:r>
    </w:p>
    <w:p w14:paraId="6B4A10F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其它工程量计算规则：</w:t>
      </w:r>
      <w:r>
        <w:rPr>
          <w:rFonts w:hint="eastAsia" w:ascii="仿宋_GB2312" w:hAnsi="仿宋_GB2312" w:eastAsia="仿宋_GB2312" w:cs="仿宋_GB2312"/>
          <w:bCs/>
          <w:snapToGrid w:val="0"/>
          <w:kern w:val="0"/>
          <w:sz w:val="28"/>
          <w:szCs w:val="28"/>
          <w:highlight w:val="none"/>
          <w:u w:val="single"/>
        </w:rPr>
        <w:t xml:space="preserve"> </w:t>
      </w:r>
    </w:p>
    <w:p w14:paraId="78087DC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bookmarkStart w:id="637" w:name="_Toc302636018"/>
      <w:bookmarkStart w:id="638" w:name="_Toc305331495"/>
      <w:r>
        <w:rPr>
          <w:rFonts w:hint="eastAsia" w:ascii="仿宋_GB2312" w:hAnsi="仿宋_GB2312" w:eastAsia="仿宋_GB2312" w:cs="仿宋_GB2312"/>
          <w:bCs/>
          <w:snapToGrid w:val="0"/>
          <w:kern w:val="0"/>
          <w:sz w:val="28"/>
          <w:szCs w:val="28"/>
          <w:highlight w:val="none"/>
          <w:u w:val="single"/>
        </w:rPr>
        <w:t xml:space="preserve">                                                                  </w:t>
      </w:r>
    </w:p>
    <w:p w14:paraId="7C1343F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7DAAA6F">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639" w:name="_Toc492905283"/>
      <w:bookmarkStart w:id="640" w:name="_Toc3259"/>
      <w:r>
        <w:rPr>
          <w:rFonts w:hint="eastAsia" w:ascii="仿宋_GB2312" w:hAnsi="仿宋_GB2312" w:eastAsia="仿宋_GB2312" w:cs="仿宋_GB2312"/>
          <w:b/>
          <w:bCs w:val="0"/>
          <w:snapToGrid w:val="0"/>
          <w:kern w:val="0"/>
          <w:sz w:val="28"/>
          <w:szCs w:val="28"/>
          <w:highlight w:val="none"/>
        </w:rPr>
        <w:t>23 工程款支付</w:t>
      </w:r>
      <w:bookmarkEnd w:id="637"/>
      <w:bookmarkEnd w:id="638"/>
      <w:bookmarkEnd w:id="639"/>
      <w:bookmarkEnd w:id="640"/>
    </w:p>
    <w:p w14:paraId="6D06BD2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41" w:name="_Toc492905284"/>
      <w:bookmarkStart w:id="642" w:name="_Toc302636019"/>
      <w:bookmarkStart w:id="643" w:name="_Toc305331496"/>
      <w:bookmarkStart w:id="644" w:name="_Toc27436"/>
      <w:r>
        <w:rPr>
          <w:rFonts w:hint="eastAsia" w:ascii="仿宋_GB2312" w:hAnsi="仿宋_GB2312" w:eastAsia="仿宋_GB2312" w:cs="仿宋_GB2312"/>
          <w:b/>
          <w:sz w:val="28"/>
          <w:szCs w:val="28"/>
          <w:highlight w:val="none"/>
          <w:lang w:val="en-US" w:eastAsia="zh-CN"/>
        </w:rPr>
        <w:t>23.1 工程预付款</w:t>
      </w:r>
      <w:bookmarkEnd w:id="641"/>
      <w:bookmarkEnd w:id="642"/>
      <w:bookmarkEnd w:id="643"/>
      <w:bookmarkEnd w:id="644"/>
    </w:p>
    <w:p w14:paraId="5776555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(1)本工程的工程预付款比例为签约合同价的</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%，即：</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403987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其中，施工现场安全文明措施费预付款的金额：</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34337BE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(2)关于本工程预付款担保的约定： </w:t>
      </w:r>
      <w:r>
        <w:rPr>
          <w:rFonts w:hint="eastAsia" w:ascii="仿宋_GB2312" w:hAnsi="仿宋_GB2312" w:eastAsia="仿宋_GB2312" w:cs="仿宋_GB2312"/>
          <w:bCs/>
          <w:snapToGrid w:val="0"/>
          <w:kern w:val="0"/>
          <w:sz w:val="28"/>
          <w:szCs w:val="28"/>
          <w:highlight w:val="none"/>
          <w:u w:val="single"/>
        </w:rPr>
        <w:t xml:space="preserve">                              </w:t>
      </w:r>
    </w:p>
    <w:p w14:paraId="1AB2C34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2922F4A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(3)发包人向承包人支付工程预付款的时间：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793AD6A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发包人支付预付款之前，还应具备的条件：</w:t>
      </w:r>
      <w:r>
        <w:rPr>
          <w:rFonts w:hint="eastAsia" w:ascii="仿宋_GB2312" w:hAnsi="仿宋_GB2312" w:eastAsia="仿宋_GB2312" w:cs="仿宋_GB2312"/>
          <w:bCs/>
          <w:snapToGrid w:val="0"/>
          <w:kern w:val="0"/>
          <w:sz w:val="28"/>
          <w:szCs w:val="28"/>
          <w:highlight w:val="none"/>
          <w:u w:val="single"/>
        </w:rPr>
        <w:t xml:space="preserve">                     </w:t>
      </w:r>
    </w:p>
    <w:p w14:paraId="77A7388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3508A14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(4)工程预付款扣回的起扣点：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34091F3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工程预付款扣回比例： </w:t>
      </w:r>
      <w:r>
        <w:rPr>
          <w:rFonts w:hint="eastAsia" w:ascii="仿宋_GB2312" w:hAnsi="仿宋_GB2312" w:eastAsia="仿宋_GB2312" w:cs="仿宋_GB2312"/>
          <w:bCs/>
          <w:snapToGrid w:val="0"/>
          <w:kern w:val="0"/>
          <w:sz w:val="28"/>
          <w:szCs w:val="28"/>
          <w:highlight w:val="none"/>
          <w:u w:val="single"/>
        </w:rPr>
        <w:t xml:space="preserve">                                     </w:t>
      </w:r>
    </w:p>
    <w:p w14:paraId="27EDEAA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45" w:name="_Toc13802"/>
      <w:bookmarkStart w:id="646" w:name="_Toc305331497"/>
      <w:bookmarkStart w:id="647" w:name="_Toc302636020"/>
      <w:bookmarkStart w:id="648" w:name="_Toc492905285"/>
      <w:r>
        <w:rPr>
          <w:rFonts w:hint="eastAsia" w:ascii="仿宋_GB2312" w:hAnsi="仿宋_GB2312" w:eastAsia="仿宋_GB2312" w:cs="仿宋_GB2312"/>
          <w:b/>
          <w:sz w:val="28"/>
          <w:szCs w:val="28"/>
          <w:highlight w:val="none"/>
          <w:lang w:val="en-US" w:eastAsia="zh-CN"/>
        </w:rPr>
        <w:t>23.2 期中结算</w:t>
      </w:r>
      <w:bookmarkEnd w:id="645"/>
      <w:bookmarkEnd w:id="646"/>
      <w:bookmarkEnd w:id="647"/>
      <w:bookmarkEnd w:id="648"/>
    </w:p>
    <w:p w14:paraId="5DEC345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(1)本工程办理期中结算与支付的时间间隔为：</w:t>
      </w:r>
      <w:r>
        <w:rPr>
          <w:rFonts w:hint="eastAsia" w:ascii="仿宋_GB2312" w:hAnsi="仿宋_GB2312" w:eastAsia="仿宋_GB2312" w:cs="仿宋_GB2312"/>
          <w:bCs/>
          <w:snapToGrid w:val="0"/>
          <w:kern w:val="0"/>
          <w:sz w:val="28"/>
          <w:szCs w:val="28"/>
          <w:highlight w:val="none"/>
          <w:u w:val="single"/>
        </w:rPr>
        <w:t xml:space="preserve">                    </w:t>
      </w:r>
    </w:p>
    <w:p w14:paraId="655927B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C20C8D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49" w:name="_Toc302636021"/>
      <w:bookmarkStart w:id="650" w:name="_Toc305331499"/>
      <w:bookmarkStart w:id="651" w:name="_Toc492905286"/>
      <w:bookmarkStart w:id="652" w:name="_Toc23471"/>
      <w:r>
        <w:rPr>
          <w:rFonts w:hint="eastAsia" w:ascii="仿宋_GB2312" w:hAnsi="仿宋_GB2312" w:eastAsia="仿宋_GB2312" w:cs="仿宋_GB2312"/>
          <w:b/>
          <w:sz w:val="28"/>
          <w:szCs w:val="28"/>
          <w:highlight w:val="none"/>
          <w:lang w:val="en-US" w:eastAsia="zh-CN"/>
        </w:rPr>
        <w:t>23.4 期中支付</w:t>
      </w:r>
      <w:bookmarkEnd w:id="649"/>
      <w:bookmarkEnd w:id="650"/>
      <w:bookmarkEnd w:id="651"/>
      <w:bookmarkEnd w:id="652"/>
    </w:p>
    <w:p w14:paraId="44AC10C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(1)期中支付的最低金额为：</w:t>
      </w:r>
      <w:r>
        <w:rPr>
          <w:rFonts w:hint="eastAsia" w:ascii="仿宋_GB2312" w:hAnsi="仿宋_GB2312" w:eastAsia="仿宋_GB2312" w:cs="仿宋_GB2312"/>
          <w:bCs/>
          <w:snapToGrid w:val="0"/>
          <w:kern w:val="0"/>
          <w:sz w:val="28"/>
          <w:szCs w:val="28"/>
          <w:highlight w:val="none"/>
          <w:u w:val="single"/>
        </w:rPr>
        <w:t xml:space="preserve">                                    </w:t>
      </w:r>
    </w:p>
    <w:p w14:paraId="7BA2427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53" w:name="_Toc28626"/>
      <w:bookmarkStart w:id="654" w:name="_Toc492905287"/>
      <w:bookmarkStart w:id="655" w:name="_Toc302636022"/>
      <w:bookmarkStart w:id="656" w:name="_Toc305331500"/>
      <w:bookmarkStart w:id="657" w:name="_Toc35656544"/>
      <w:r>
        <w:rPr>
          <w:rFonts w:hint="eastAsia" w:ascii="仿宋_GB2312" w:hAnsi="仿宋_GB2312" w:eastAsia="仿宋_GB2312" w:cs="仿宋_GB2312"/>
          <w:b/>
          <w:sz w:val="28"/>
          <w:szCs w:val="28"/>
          <w:highlight w:val="none"/>
          <w:lang w:val="en-US" w:eastAsia="zh-CN"/>
        </w:rPr>
        <w:t>23.5 工人工资支付</w:t>
      </w:r>
      <w:bookmarkEnd w:id="653"/>
      <w:bookmarkEnd w:id="654"/>
    </w:p>
    <w:p w14:paraId="2688571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bookmarkStart w:id="658" w:name="_Toc448841291"/>
      <w:bookmarkStart w:id="659" w:name="_Toc453616623"/>
      <w:bookmarkStart w:id="660" w:name="_Toc492905288"/>
      <w:r>
        <w:rPr>
          <w:rFonts w:hint="eastAsia" w:ascii="仿宋_GB2312" w:hAnsi="仿宋_GB2312" w:eastAsia="仿宋_GB2312" w:cs="仿宋_GB2312"/>
          <w:bCs/>
          <w:snapToGrid w:val="0"/>
          <w:kern w:val="0"/>
          <w:sz w:val="28"/>
          <w:szCs w:val="28"/>
          <w:highlight w:val="none"/>
        </w:rPr>
        <w:t>本工程</w:t>
      </w:r>
      <w:r>
        <w:rPr>
          <w:rFonts w:hint="eastAsia" w:ascii="仿宋_GB2312" w:hAnsi="仿宋_GB2312" w:eastAsia="仿宋_GB2312" w:cs="仿宋_GB2312"/>
          <w:bCs/>
          <w:snapToGrid w:val="0"/>
          <w:kern w:val="0"/>
          <w:sz w:val="28"/>
          <w:szCs w:val="28"/>
          <w:highlight w:val="none"/>
          <w:lang w:eastAsia="zh-CN"/>
        </w:rPr>
        <w:t>工人工资</w:t>
      </w:r>
      <w:r>
        <w:rPr>
          <w:rFonts w:hint="eastAsia" w:ascii="仿宋_GB2312" w:hAnsi="仿宋_GB2312" w:eastAsia="仿宋_GB2312" w:cs="仿宋_GB2312"/>
          <w:bCs/>
          <w:snapToGrid w:val="0"/>
          <w:kern w:val="0"/>
          <w:sz w:val="28"/>
          <w:szCs w:val="28"/>
          <w:highlight w:val="none"/>
        </w:rPr>
        <w:t>支付约定如下：</w:t>
      </w:r>
      <w:bookmarkEnd w:id="658"/>
      <w:bookmarkEnd w:id="659"/>
      <w:bookmarkEnd w:id="660"/>
      <w:r>
        <w:rPr>
          <w:rFonts w:hint="eastAsia" w:ascii="仿宋_GB2312" w:hAnsi="仿宋_GB2312" w:eastAsia="仿宋_GB2312" w:cs="仿宋_GB2312"/>
          <w:bCs/>
          <w:snapToGrid w:val="0"/>
          <w:kern w:val="0"/>
          <w:sz w:val="28"/>
          <w:szCs w:val="28"/>
          <w:highlight w:val="none"/>
        </w:rPr>
        <w:t xml:space="preserve">                               </w:t>
      </w:r>
    </w:p>
    <w:p w14:paraId="7AC7CBEE">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本工程签约合同价中工人工资款比例为：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。（房屋建筑工程占比一般为18%以上，市政工程占比一般为13%以上）</w:t>
      </w:r>
    </w:p>
    <w:p w14:paraId="671D58B7">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发包人和承包人应结合项目实际，合理确定上述比例。</w:t>
      </w:r>
    </w:p>
    <w:p w14:paraId="7985D39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情况下，如因非承包人原因导致按上述比例不足以满足本工程工人工资足额发放的，双方可以协商调整上述比例，具体调整方式为：</w:t>
      </w:r>
      <w:r>
        <w:rPr>
          <w:rFonts w:hint="eastAsia" w:ascii="仿宋" w:hAnsi="仿宋" w:eastAsia="仿宋" w:cs="仿宋"/>
          <w:bCs/>
          <w:sz w:val="28"/>
          <w:szCs w:val="28"/>
          <w:highlight w:val="none"/>
          <w:u w:val="single"/>
        </w:rPr>
        <w:t xml:space="preserve">    </w:t>
      </w:r>
      <w:r>
        <w:rPr>
          <w:rFonts w:hint="default" w:ascii="仿宋" w:hAnsi="仿宋" w:eastAsia="仿宋" w:cs="仿宋"/>
          <w:bCs/>
          <w:sz w:val="28"/>
          <w:szCs w:val="28"/>
          <w:highlight w:val="none"/>
          <w:u w:val="single"/>
          <w:lang w:val="en-US"/>
        </w:rPr>
        <w:t xml:space="preserve">                               </w:t>
      </w:r>
      <w:r>
        <w:rPr>
          <w:rFonts w:hint="eastAsia" w:ascii="仿宋" w:hAnsi="仿宋" w:eastAsia="仿宋" w:cs="仿宋"/>
          <w:sz w:val="28"/>
          <w:szCs w:val="28"/>
          <w:highlight w:val="none"/>
        </w:rPr>
        <w:t>。</w:t>
      </w:r>
    </w:p>
    <w:p w14:paraId="0A447E0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承包人已确认上述比例及调整的约定，能满足本工程的工人工资足额发放。</w:t>
      </w:r>
    </w:p>
    <w:p w14:paraId="74876A9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承包人必须严格按照国家、省、市等有关规定根据劳动合同约定的工资标准、支付周期和日期，将工资直接发放给劳动者本人，不得将工资发放给包工头或者不具备用工主体资格的其他组织或个人，亦不得以任何理由克扣劳动者工资。如劳动者因承包人未及时发放工资而向发包人主张任何权益的，发包人有权暂停向承包人支付合同价款，有权在合同价款中扣除发包人代为向劳动者支付的任何费用，且承包人应就上述违约行为向发包人承担拖欠工资总额的50%的违约金，该违约金在合同价款支付时直接扣除。</w:t>
      </w:r>
    </w:p>
    <w:p w14:paraId="07F4AE6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承包人应按照《国务院办公厅关于全面治理拖欠农民工工资问题的意见》（国办发〔2016〕1号）、《广东省人民政府办公厅关于全面治理拖欠异地务工人员工资问题的实施意见》（粤府办〔2016〕111号）、《省人力资源和社会保障厅、省公安厅、 省住房和城乡建设厅、省交通运输厅、省水利厅、省总工会关于开展解决拖欠农民工工资问题专项行动的通知》（粤人社明电〔2016〕54号）、《深圳市住建局关于印发全面治理工程建设领域拖欠劳务工工资问题专项治理行动实施方案的通知》（深建市场〔2016〕34号）等文件的要求实行劳务用工实名制、工资分账管理制度及上述文件规定的其他制度。</w:t>
      </w:r>
    </w:p>
    <w:p w14:paraId="7FF91D79">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b w:val="0"/>
          <w:bCs w:val="0"/>
          <w:snapToGrid/>
          <w:kern w:val="2"/>
          <w:sz w:val="28"/>
          <w:szCs w:val="28"/>
          <w:highlight w:val="none"/>
        </w:rPr>
      </w:pPr>
      <w:r>
        <w:rPr>
          <w:rFonts w:hint="eastAsia" w:ascii="仿宋" w:hAnsi="仿宋" w:eastAsia="仿宋" w:cs="仿宋"/>
          <w:b w:val="0"/>
          <w:bCs w:val="0"/>
          <w:snapToGrid/>
          <w:kern w:val="2"/>
          <w:sz w:val="28"/>
          <w:szCs w:val="28"/>
          <w:highlight w:val="none"/>
        </w:rPr>
        <w:t>承包人应当为本项目设立劳务工工资专用账户，由承包人、分包人、开户银行订立三方协议，委托银行向劳务工个人账户按月划拨工资。承包人应按照发包人的要求提交该协议及与之相关的各类文件。</w:t>
      </w:r>
    </w:p>
    <w:p w14:paraId="50A9F965">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因承包人未能履行上述义务导致的损失由承包人负责，包括但不限于无法办理施工许可证</w:t>
      </w:r>
      <w:r>
        <w:rPr>
          <w:rFonts w:hint="eastAsia" w:ascii="仿宋" w:hAnsi="仿宋" w:eastAsia="仿宋" w:cs="仿宋"/>
          <w:sz w:val="28"/>
          <w:szCs w:val="28"/>
          <w:highlight w:val="none"/>
          <w:lang w:eastAsia="zh-CN"/>
        </w:rPr>
        <w:t>、未按照法律规定及本合同约定支付工人工资</w:t>
      </w:r>
      <w:r>
        <w:rPr>
          <w:rFonts w:hint="eastAsia" w:ascii="仿宋" w:hAnsi="仿宋" w:eastAsia="仿宋" w:cs="仿宋"/>
          <w:sz w:val="28"/>
          <w:szCs w:val="28"/>
          <w:highlight w:val="none"/>
        </w:rPr>
        <w:t>等。</w:t>
      </w:r>
    </w:p>
    <w:p w14:paraId="0C31ED4C">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承包人为履行本条项下义务而发生的费用由承包人承担。承包人并应保证分包人按照前述文件要求实行劳务用工实名制和工资分账管理制度。如因分包人未履行相关义务引发的责任由承包人承担。</w:t>
      </w:r>
    </w:p>
    <w:p w14:paraId="1A0A4A4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发包人支付到工人工资专用账户的工人工资支付周期为：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，该工人工资支付周期不得超过1个月。</w:t>
      </w:r>
    </w:p>
    <w:p w14:paraId="065AAECF">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本工程工人工资支付的其他约定：</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p>
    <w:p w14:paraId="60CD85F7">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u w:val="single"/>
        </w:rPr>
        <w:t xml:space="preserve">                                                                            </w:t>
      </w:r>
    </w:p>
    <w:p w14:paraId="614E654D">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u w:val="single"/>
        </w:rPr>
        <w:t xml:space="preserve">                                                                            </w:t>
      </w:r>
    </w:p>
    <w:p w14:paraId="1A333A71">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p>
    <w:p w14:paraId="7D7E627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r>
        <w:rPr>
          <w:rFonts w:hint="eastAsia" w:ascii="宋体" w:hAnsi="宋体"/>
          <w:bCs/>
          <w:sz w:val="24"/>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429ED65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61" w:name="_Toc7363"/>
      <w:bookmarkStart w:id="662" w:name="_Toc492905289"/>
      <w:r>
        <w:rPr>
          <w:rFonts w:hint="eastAsia" w:ascii="仿宋_GB2312" w:hAnsi="仿宋_GB2312" w:eastAsia="仿宋_GB2312" w:cs="仿宋_GB2312"/>
          <w:b/>
          <w:sz w:val="28"/>
          <w:szCs w:val="28"/>
          <w:highlight w:val="none"/>
          <w:lang w:val="en-US" w:eastAsia="zh-CN"/>
        </w:rPr>
        <w:t>23.6 工程款专款专用</w:t>
      </w:r>
      <w:bookmarkEnd w:id="655"/>
      <w:bookmarkEnd w:id="656"/>
      <w:bookmarkEnd w:id="661"/>
      <w:bookmarkEnd w:id="662"/>
    </w:p>
    <w:p w14:paraId="2DDFE38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发包人有权采取以下方式对对承包人的工程款使用情况进行监管：</w:t>
      </w:r>
    </w:p>
    <w:p w14:paraId="6420D7F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 w:val="0"/>
          <w:bCs/>
          <w:snapToGrid w:val="0"/>
          <w:kern w:val="0"/>
          <w:sz w:val="28"/>
          <w:szCs w:val="28"/>
          <w:highlight w:val="none"/>
        </w:rPr>
        <w:t>资金共管</w:t>
      </w:r>
      <w:r>
        <w:rPr>
          <w:rFonts w:hint="eastAsia" w:ascii="仿宋_GB2312" w:hAnsi="仿宋_GB2312" w:eastAsia="仿宋_GB2312" w:cs="仿宋_GB2312"/>
          <w:b/>
          <w:bCs w:val="0"/>
          <w:snapToGrid w:val="0"/>
          <w:kern w:val="0"/>
          <w:sz w:val="28"/>
          <w:szCs w:val="28"/>
          <w:highlight w:val="none"/>
        </w:rPr>
        <w:t>：</w:t>
      </w:r>
      <w:r>
        <w:rPr>
          <w:rFonts w:hint="eastAsia" w:ascii="仿宋_GB2312" w:hAnsi="仿宋_GB2312" w:eastAsia="仿宋_GB2312" w:cs="仿宋_GB2312"/>
          <w:bCs/>
          <w:snapToGrid w:val="0"/>
          <w:kern w:val="0"/>
          <w:sz w:val="28"/>
          <w:szCs w:val="28"/>
          <w:highlight w:val="none"/>
        </w:rPr>
        <w:t>发包人可要求承包人建立共管账户，工程进度款支付到以发包人名义设立的共管账户中，承包人对外向外支付时需得到发包人的批准，并加盖发包人指定人员的印签。资金共管的范围包括但不限于工程预付款、工程进度款、安全文明措施费等。</w:t>
      </w:r>
    </w:p>
    <w:p w14:paraId="5DB3DF0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
          <w:bCs w:val="0"/>
          <w:snapToGrid w:val="0"/>
          <w:kern w:val="0"/>
          <w:sz w:val="28"/>
          <w:szCs w:val="28"/>
          <w:highlight w:val="none"/>
        </w:rPr>
        <w:t>暂停支付：</w:t>
      </w:r>
      <w:r>
        <w:rPr>
          <w:rFonts w:hint="eastAsia" w:ascii="仿宋_GB2312" w:hAnsi="仿宋_GB2312" w:eastAsia="仿宋_GB2312" w:cs="仿宋_GB2312"/>
          <w:bCs/>
          <w:snapToGrid w:val="0"/>
          <w:kern w:val="0"/>
          <w:sz w:val="28"/>
          <w:szCs w:val="28"/>
          <w:highlight w:val="none"/>
        </w:rPr>
        <w:t>发包人有权在下一期中支付时暂停支付与承包人挪用款额相等的工程款；</w:t>
      </w:r>
    </w:p>
    <w:p w14:paraId="0A9130D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
          <w:bCs w:val="0"/>
          <w:snapToGrid w:val="0"/>
          <w:kern w:val="0"/>
          <w:sz w:val="28"/>
          <w:szCs w:val="28"/>
          <w:highlight w:val="none"/>
        </w:rPr>
        <w:t>代付分包工程款和材料款：</w:t>
      </w:r>
      <w:r>
        <w:rPr>
          <w:rFonts w:hint="eastAsia" w:ascii="仿宋_GB2312" w:hAnsi="仿宋_GB2312" w:eastAsia="仿宋_GB2312" w:cs="仿宋_GB2312"/>
          <w:bCs/>
          <w:snapToGrid w:val="0"/>
          <w:kern w:val="0"/>
          <w:sz w:val="28"/>
          <w:szCs w:val="28"/>
          <w:highlight w:val="none"/>
        </w:rPr>
        <w:t>发包人有权根据承包人与分包人(含劳务分包人)、材料供应商的期中结算，在应付承包人的进度款中扣除并代为支付该期分包工程款与材料款；</w:t>
      </w:r>
    </w:p>
    <w:p w14:paraId="40F97E3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
          <w:bCs w:val="0"/>
          <w:snapToGrid w:val="0"/>
          <w:kern w:val="0"/>
          <w:sz w:val="28"/>
          <w:szCs w:val="28"/>
          <w:highlight w:val="none"/>
        </w:rPr>
        <w:t>其他：</w:t>
      </w:r>
      <w:r>
        <w:rPr>
          <w:rFonts w:hint="eastAsia" w:ascii="仿宋_GB2312" w:hAnsi="仿宋_GB2312" w:eastAsia="仿宋_GB2312" w:cs="仿宋_GB2312"/>
          <w:bCs/>
          <w:snapToGrid w:val="0"/>
          <w:kern w:val="0"/>
          <w:sz w:val="28"/>
          <w:szCs w:val="28"/>
          <w:highlight w:val="none"/>
          <w:u w:val="single"/>
        </w:rPr>
        <w:t xml:space="preserve">                                                    </w:t>
      </w:r>
    </w:p>
    <w:p w14:paraId="5863728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9C8C5DA">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663" w:name="_Toc492905290"/>
      <w:bookmarkStart w:id="664" w:name="_Toc302636023"/>
      <w:bookmarkStart w:id="665" w:name="_Toc11478"/>
      <w:bookmarkStart w:id="666" w:name="_Toc305331501"/>
      <w:r>
        <w:rPr>
          <w:rFonts w:hint="eastAsia" w:ascii="仿宋_GB2312" w:hAnsi="仿宋_GB2312" w:eastAsia="仿宋_GB2312" w:cs="仿宋_GB2312"/>
          <w:b/>
          <w:bCs w:val="0"/>
          <w:snapToGrid w:val="0"/>
          <w:kern w:val="0"/>
          <w:sz w:val="28"/>
          <w:szCs w:val="28"/>
          <w:highlight w:val="none"/>
        </w:rPr>
        <w:t>24 工程变更</w:t>
      </w:r>
      <w:bookmarkEnd w:id="663"/>
      <w:bookmarkEnd w:id="664"/>
      <w:bookmarkEnd w:id="665"/>
      <w:bookmarkEnd w:id="666"/>
    </w:p>
    <w:p w14:paraId="15ED9BA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67" w:name="_Toc302636024"/>
      <w:bookmarkStart w:id="668" w:name="_Toc492905291"/>
      <w:bookmarkStart w:id="669" w:name="_Toc32533"/>
      <w:bookmarkStart w:id="670" w:name="_Toc305331502"/>
      <w:r>
        <w:rPr>
          <w:rFonts w:hint="eastAsia" w:ascii="仿宋_GB2312" w:hAnsi="仿宋_GB2312" w:eastAsia="仿宋_GB2312" w:cs="仿宋_GB2312"/>
          <w:b/>
          <w:sz w:val="28"/>
          <w:szCs w:val="28"/>
          <w:highlight w:val="none"/>
          <w:lang w:val="en-US" w:eastAsia="zh-CN"/>
        </w:rPr>
        <w:t>24.3 工程变更程序</w:t>
      </w:r>
      <w:bookmarkEnd w:id="667"/>
      <w:bookmarkEnd w:id="668"/>
      <w:bookmarkEnd w:id="669"/>
      <w:bookmarkEnd w:id="670"/>
    </w:p>
    <w:p w14:paraId="69DE892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本工程的工程变更(包括设计变更、现场签证等)的管理规定如下：</w:t>
      </w:r>
      <w:r>
        <w:rPr>
          <w:rFonts w:hint="eastAsia" w:ascii="仿宋_GB2312" w:hAnsi="仿宋_GB2312" w:eastAsia="仿宋_GB2312" w:cs="仿宋_GB2312"/>
          <w:bCs/>
          <w:snapToGrid w:val="0"/>
          <w:kern w:val="0"/>
          <w:sz w:val="28"/>
          <w:szCs w:val="28"/>
          <w:highlight w:val="none"/>
          <w:u w:val="single"/>
        </w:rPr>
        <w:t xml:space="preserve">   </w:t>
      </w:r>
    </w:p>
    <w:p w14:paraId="1E582E0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703419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3930F4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C1E316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F9EDE6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06447D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(6)设计变更超过原设计标准或批复建设规模时，发包人完成审批手续办理的时限为：</w:t>
      </w:r>
      <w:r>
        <w:rPr>
          <w:rFonts w:hint="eastAsia" w:ascii="仿宋_GB2312" w:hAnsi="仿宋_GB2312" w:eastAsia="仿宋_GB2312" w:cs="仿宋_GB2312"/>
          <w:bCs/>
          <w:snapToGrid w:val="0"/>
          <w:kern w:val="0"/>
          <w:sz w:val="28"/>
          <w:szCs w:val="28"/>
          <w:highlight w:val="none"/>
          <w:u w:val="single"/>
        </w:rPr>
        <w:t xml:space="preserve">                                                </w:t>
      </w:r>
    </w:p>
    <w:p w14:paraId="7F8FFF1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71" w:name="_Toc27490"/>
      <w:bookmarkStart w:id="672" w:name="_Toc492905292"/>
      <w:bookmarkStart w:id="673" w:name="_Toc302636025"/>
      <w:bookmarkStart w:id="674" w:name="_Toc305331504"/>
      <w:r>
        <w:rPr>
          <w:rFonts w:hint="eastAsia" w:ascii="仿宋_GB2312" w:hAnsi="仿宋_GB2312" w:eastAsia="仿宋_GB2312" w:cs="仿宋_GB2312"/>
          <w:b/>
          <w:sz w:val="28"/>
          <w:szCs w:val="28"/>
          <w:highlight w:val="none"/>
          <w:lang w:val="en-US" w:eastAsia="zh-CN"/>
        </w:rPr>
        <w:t>24.6 价值工程</w:t>
      </w:r>
      <w:bookmarkEnd w:id="671"/>
      <w:bookmarkEnd w:id="672"/>
      <w:bookmarkEnd w:id="673"/>
    </w:p>
    <w:p w14:paraId="57B4EA1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(3)发包人同意采用承包人合理化建议，所发生的费用和获得的收益按以下约定分担或分享：</w:t>
      </w:r>
      <w:r>
        <w:rPr>
          <w:rFonts w:hint="eastAsia" w:ascii="仿宋_GB2312" w:hAnsi="仿宋_GB2312" w:eastAsia="仿宋_GB2312" w:cs="仿宋_GB2312"/>
          <w:bCs/>
          <w:snapToGrid w:val="0"/>
          <w:kern w:val="0"/>
          <w:sz w:val="28"/>
          <w:szCs w:val="28"/>
          <w:highlight w:val="none"/>
          <w:u w:val="single"/>
        </w:rPr>
        <w:t xml:space="preserve">                                          </w:t>
      </w:r>
    </w:p>
    <w:p w14:paraId="01E5E6F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25AE124">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675" w:name="_Toc492905293"/>
      <w:bookmarkStart w:id="676" w:name="_Toc32273"/>
      <w:bookmarkStart w:id="677" w:name="_Toc302636026"/>
      <w:r>
        <w:rPr>
          <w:rFonts w:hint="eastAsia" w:ascii="仿宋_GB2312" w:hAnsi="仿宋_GB2312" w:eastAsia="仿宋_GB2312" w:cs="仿宋_GB2312"/>
          <w:b/>
          <w:bCs w:val="0"/>
          <w:snapToGrid w:val="0"/>
          <w:kern w:val="0"/>
          <w:sz w:val="28"/>
          <w:szCs w:val="28"/>
          <w:highlight w:val="none"/>
        </w:rPr>
        <w:t>25 工程变更</w:t>
      </w:r>
      <w:bookmarkEnd w:id="657"/>
      <w:r>
        <w:rPr>
          <w:rFonts w:hint="eastAsia" w:ascii="仿宋_GB2312" w:hAnsi="仿宋_GB2312" w:eastAsia="仿宋_GB2312" w:cs="仿宋_GB2312"/>
          <w:b/>
          <w:bCs w:val="0"/>
          <w:snapToGrid w:val="0"/>
          <w:kern w:val="0"/>
          <w:sz w:val="28"/>
          <w:szCs w:val="28"/>
          <w:highlight w:val="none"/>
        </w:rPr>
        <w:t>价款</w:t>
      </w:r>
      <w:bookmarkEnd w:id="674"/>
      <w:bookmarkEnd w:id="675"/>
      <w:bookmarkEnd w:id="676"/>
      <w:bookmarkEnd w:id="677"/>
    </w:p>
    <w:p w14:paraId="0F3EF56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78" w:name="_Toc302636027"/>
      <w:bookmarkStart w:id="679" w:name="_Toc32047"/>
      <w:bookmarkStart w:id="680" w:name="_Toc492905294"/>
      <w:bookmarkStart w:id="681" w:name="_Toc305331505"/>
      <w:r>
        <w:rPr>
          <w:rFonts w:hint="eastAsia" w:ascii="仿宋_GB2312" w:hAnsi="仿宋_GB2312" w:eastAsia="仿宋_GB2312" w:cs="仿宋_GB2312"/>
          <w:b/>
          <w:sz w:val="28"/>
          <w:szCs w:val="28"/>
          <w:highlight w:val="none"/>
          <w:lang w:val="en-US" w:eastAsia="zh-CN"/>
        </w:rPr>
        <w:t>25.1 工程变更价款的确定方法</w:t>
      </w:r>
      <w:bookmarkEnd w:id="678"/>
      <w:bookmarkEnd w:id="679"/>
      <w:bookmarkEnd w:id="680"/>
      <w:bookmarkEnd w:id="681"/>
    </w:p>
    <w:p w14:paraId="57186924">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bCs/>
          <w:sz w:val="28"/>
          <w:szCs w:val="28"/>
          <w:highlight w:val="none"/>
          <w:u w:val="single"/>
        </w:rPr>
      </w:pPr>
      <w:r>
        <w:rPr>
          <w:rFonts w:hint="eastAsia" w:ascii="仿宋_GB2312" w:hAnsi="仿宋_GB2312" w:eastAsia="仿宋_GB2312" w:cs="仿宋_GB2312"/>
          <w:bCs/>
          <w:snapToGrid w:val="0"/>
          <w:kern w:val="0"/>
          <w:sz w:val="28"/>
          <w:szCs w:val="28"/>
          <w:highlight w:val="none"/>
        </w:rPr>
        <w:t>(2) 合同价格构成中的工程量清单项目单价中只有类似于变更工程的项目单价，</w:t>
      </w:r>
      <w:r>
        <w:rPr>
          <w:rFonts w:hint="eastAsia" w:ascii="仿宋" w:hAnsi="仿宋" w:eastAsia="仿宋" w:cs="仿宋"/>
          <w:sz w:val="28"/>
          <w:szCs w:val="28"/>
          <w:highlight w:val="none"/>
        </w:rPr>
        <w:t>变更价款的确定方法：</w:t>
      </w:r>
      <w:r>
        <w:rPr>
          <w:rFonts w:hint="eastAsia" w:ascii="仿宋" w:hAnsi="仿宋" w:eastAsia="仿宋" w:cs="仿宋"/>
          <w:bCs/>
          <w:sz w:val="28"/>
          <w:szCs w:val="28"/>
          <w:highlight w:val="none"/>
          <w:u w:val="singl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p>
    <w:p w14:paraId="0413B9A4">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w:t>
      </w:r>
    </w:p>
    <w:p w14:paraId="3335A8D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 w:hAnsi="仿宋" w:eastAsia="仿宋" w:cs="仿宋"/>
          <w:bCs/>
          <w:snapToGrid w:val="0"/>
          <w:kern w:val="0"/>
          <w:sz w:val="28"/>
          <w:szCs w:val="28"/>
          <w:highlight w:val="none"/>
        </w:rPr>
        <w:t>类似项目的定义为：</w:t>
      </w:r>
      <w:r>
        <w:rPr>
          <w:rFonts w:hint="eastAsia" w:ascii="仿宋" w:hAnsi="仿宋" w:eastAsia="仿宋" w:cs="仿宋"/>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u w:val="single"/>
        </w:rPr>
        <w:t xml:space="preserve">                                                              </w:t>
      </w:r>
    </w:p>
    <w:p w14:paraId="4B8C901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(3)合同价格构成中的工程量清单项目单价中没有适用或类似于变更工程的项目单价时变更价款的确定方法：</w:t>
      </w:r>
      <w:r>
        <w:rPr>
          <w:rFonts w:hint="eastAsia" w:ascii="仿宋_GB2312" w:hAnsi="仿宋_GB2312" w:eastAsia="仿宋_GB2312" w:cs="仿宋_GB2312"/>
          <w:bCs/>
          <w:snapToGrid w:val="0"/>
          <w:kern w:val="0"/>
          <w:sz w:val="28"/>
          <w:szCs w:val="28"/>
          <w:highlight w:val="none"/>
          <w:u w:val="single"/>
        </w:rPr>
        <w:t xml:space="preserve">                             </w:t>
      </w:r>
    </w:p>
    <w:p w14:paraId="0E89E31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3C91D5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5FF121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64DD7A3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(4)工程量清单中项目工程量增减幅度：</w:t>
      </w:r>
      <w:r>
        <w:rPr>
          <w:rFonts w:hint="eastAsia" w:ascii="仿宋_GB2312" w:hAnsi="仿宋_GB2312" w:eastAsia="仿宋_GB2312" w:cs="仿宋_GB2312"/>
          <w:bCs/>
          <w:snapToGrid w:val="0"/>
          <w:kern w:val="0"/>
          <w:sz w:val="28"/>
          <w:szCs w:val="28"/>
          <w:highlight w:val="none"/>
          <w:u w:val="single"/>
        </w:rPr>
        <w:t xml:space="preserve">              </w:t>
      </w:r>
    </w:p>
    <w:p w14:paraId="34303B0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82" w:name="_Toc24707"/>
      <w:bookmarkStart w:id="683" w:name="_Toc302636028"/>
      <w:bookmarkStart w:id="684" w:name="_Toc305331507"/>
      <w:bookmarkStart w:id="685" w:name="_Toc492905295"/>
      <w:r>
        <w:rPr>
          <w:rFonts w:hint="eastAsia" w:ascii="仿宋_GB2312" w:hAnsi="仿宋_GB2312" w:eastAsia="仿宋_GB2312" w:cs="仿宋_GB2312"/>
          <w:b/>
          <w:sz w:val="28"/>
          <w:szCs w:val="28"/>
          <w:highlight w:val="none"/>
          <w:lang w:val="en-US" w:eastAsia="zh-CN"/>
        </w:rPr>
        <w:t>25.2 工程变更引起措施项目的调整</w:t>
      </w:r>
      <w:bookmarkEnd w:id="682"/>
      <w:bookmarkEnd w:id="683"/>
      <w:bookmarkEnd w:id="684"/>
      <w:bookmarkEnd w:id="685"/>
    </w:p>
    <w:p w14:paraId="1700DD1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(3)工程变更引起措施项目费调整的，其调整方法为：</w:t>
      </w:r>
      <w:r>
        <w:rPr>
          <w:rFonts w:hint="eastAsia" w:ascii="仿宋_GB2312" w:hAnsi="仿宋_GB2312" w:eastAsia="仿宋_GB2312" w:cs="仿宋_GB2312"/>
          <w:bCs/>
          <w:snapToGrid w:val="0"/>
          <w:kern w:val="0"/>
          <w:sz w:val="28"/>
          <w:szCs w:val="28"/>
          <w:highlight w:val="none"/>
          <w:u w:val="single"/>
        </w:rPr>
        <w:t xml:space="preserve">              </w:t>
      </w:r>
    </w:p>
    <w:p w14:paraId="27BEA49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2BA9B4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1FAFB2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D14A33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1AF3D8B2">
      <w:pPr>
        <w:pageBreakBefore w:val="0"/>
        <w:kinsoku/>
        <w:overflowPunct/>
        <w:topLinePunct w:val="0"/>
        <w:autoSpaceDE/>
        <w:autoSpaceDN/>
        <w:bidi w:val="0"/>
        <w:adjustRightInd w:val="0"/>
        <w:snapToGrid w:val="0"/>
        <w:spacing w:line="560" w:lineRule="exact"/>
        <w:ind w:left="0" w:leftChars="0" w:right="0" w:rightChars="0" w:firstLine="480"/>
        <w:textAlignment w:val="auto"/>
        <w:rPr>
          <w:rFonts w:hint="eastAsia" w:ascii="仿宋" w:hAnsi="仿宋" w:eastAsia="仿宋" w:cs="仿宋"/>
          <w:sz w:val="28"/>
          <w:szCs w:val="28"/>
          <w:highlight w:val="none"/>
          <w:u w:val="single"/>
        </w:rPr>
      </w:pPr>
      <w:bookmarkStart w:id="686" w:name="_Toc305331506"/>
      <w:bookmarkStart w:id="687" w:name="_Toc302636029"/>
      <w:bookmarkStart w:id="688" w:name="_Toc492905296"/>
      <w:r>
        <w:rPr>
          <w:rFonts w:hint="eastAsia" w:ascii="仿宋" w:hAnsi="仿宋" w:eastAsia="仿宋" w:cs="仿宋"/>
          <w:bCs/>
          <w:sz w:val="28"/>
          <w:szCs w:val="28"/>
          <w:highlight w:val="none"/>
        </w:rPr>
        <w:t>③安全文明施工措施费计算基数变化幅度及</w:t>
      </w:r>
      <w:r>
        <w:rPr>
          <w:rFonts w:hint="eastAsia" w:ascii="仿宋" w:hAnsi="仿宋" w:eastAsia="仿宋" w:cs="仿宋"/>
          <w:sz w:val="28"/>
          <w:szCs w:val="28"/>
          <w:highlight w:val="none"/>
        </w:rPr>
        <w:t>其调整方法的约定为：</w:t>
      </w:r>
      <w:r>
        <w:rPr>
          <w:rFonts w:hint="eastAsia" w:ascii="仿宋" w:hAnsi="仿宋" w:eastAsia="仿宋" w:cs="仿宋"/>
          <w:sz w:val="28"/>
          <w:szCs w:val="28"/>
          <w:highlight w:val="none"/>
          <w:u w:val="single"/>
        </w:rPr>
        <w:t xml:space="preserve">  </w:t>
      </w:r>
    </w:p>
    <w:p w14:paraId="154777E8">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 xml:space="preserve">                                                                </w:t>
      </w:r>
    </w:p>
    <w:p w14:paraId="60225304">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bCs/>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w:t>
      </w:r>
    </w:p>
    <w:p w14:paraId="625ED17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89" w:name="_Toc16882"/>
      <w:r>
        <w:rPr>
          <w:rFonts w:hint="eastAsia" w:ascii="仿宋_GB2312" w:hAnsi="仿宋_GB2312" w:eastAsia="仿宋_GB2312" w:cs="仿宋_GB2312"/>
          <w:b/>
          <w:sz w:val="28"/>
          <w:szCs w:val="28"/>
          <w:highlight w:val="none"/>
          <w:lang w:val="en-US" w:eastAsia="zh-CN"/>
        </w:rPr>
        <w:t>25.3 工程变更价款的确定程序</w:t>
      </w:r>
      <w:bookmarkEnd w:id="686"/>
      <w:bookmarkEnd w:id="687"/>
      <w:bookmarkEnd w:id="688"/>
      <w:bookmarkEnd w:id="689"/>
    </w:p>
    <w:p w14:paraId="33295CE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本工程的工程变更价款按以下程序进行确定：</w:t>
      </w:r>
      <w:r>
        <w:rPr>
          <w:rFonts w:hint="eastAsia" w:ascii="仿宋_GB2312" w:hAnsi="仿宋_GB2312" w:eastAsia="仿宋_GB2312" w:cs="仿宋_GB2312"/>
          <w:bCs/>
          <w:snapToGrid w:val="0"/>
          <w:kern w:val="0"/>
          <w:sz w:val="28"/>
          <w:szCs w:val="28"/>
          <w:highlight w:val="none"/>
          <w:u w:val="single"/>
        </w:rPr>
        <w:t xml:space="preserve">                     </w:t>
      </w:r>
    </w:p>
    <w:p w14:paraId="282A540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541BA1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62B747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90" w:name="_Toc492905297"/>
      <w:bookmarkStart w:id="691" w:name="_Toc13077"/>
      <w:bookmarkStart w:id="692" w:name="_Toc302636030"/>
      <w:r>
        <w:rPr>
          <w:rFonts w:hint="eastAsia" w:ascii="仿宋_GB2312" w:hAnsi="仿宋_GB2312" w:eastAsia="仿宋_GB2312" w:cs="仿宋_GB2312"/>
          <w:b/>
          <w:sz w:val="28"/>
          <w:szCs w:val="28"/>
          <w:highlight w:val="none"/>
          <w:lang w:val="en-US" w:eastAsia="zh-CN"/>
        </w:rPr>
        <w:t>25.4 工程量变化调整项目单价</w:t>
      </w:r>
      <w:bookmarkEnd w:id="690"/>
      <w:bookmarkEnd w:id="691"/>
      <w:bookmarkEnd w:id="692"/>
    </w:p>
    <w:p w14:paraId="6CAA90F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工程量清单中项目工程量增减幅度：</w:t>
      </w:r>
      <w:r>
        <w:rPr>
          <w:rFonts w:hint="eastAsia" w:ascii="仿宋_GB2312" w:hAnsi="仿宋_GB2312" w:eastAsia="仿宋_GB2312" w:cs="仿宋_GB2312"/>
          <w:bCs/>
          <w:snapToGrid w:val="0"/>
          <w:kern w:val="0"/>
          <w:sz w:val="28"/>
          <w:szCs w:val="28"/>
          <w:highlight w:val="none"/>
          <w:u w:val="single"/>
        </w:rPr>
        <w:t xml:space="preserve">              </w:t>
      </w:r>
    </w:p>
    <w:p w14:paraId="17960DF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清单项目增加部分工程量或减少后剩余部分工程量的项目单价确定方法</w:t>
      </w:r>
      <w:r>
        <w:rPr>
          <w:rFonts w:hint="eastAsia" w:ascii="仿宋_GB2312" w:hAnsi="仿宋_GB2312" w:eastAsia="仿宋_GB2312" w:cs="仿宋_GB2312"/>
          <w:bCs/>
          <w:snapToGrid w:val="0"/>
          <w:kern w:val="0"/>
          <w:sz w:val="28"/>
          <w:szCs w:val="28"/>
          <w:highlight w:val="none"/>
          <w:u w:val="single"/>
        </w:rPr>
        <w:t xml:space="preserve">                                                            </w:t>
      </w:r>
    </w:p>
    <w:p w14:paraId="69E8BCE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4FEA3D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ED9AF6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C1AC46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007B27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93" w:name="_Toc14406"/>
      <w:bookmarkStart w:id="694" w:name="_Toc492905298"/>
      <w:bookmarkStart w:id="695" w:name="_Toc305331508"/>
      <w:bookmarkStart w:id="696" w:name="_Toc302636031"/>
      <w:r>
        <w:rPr>
          <w:rFonts w:hint="eastAsia" w:ascii="仿宋_GB2312" w:hAnsi="仿宋_GB2312" w:eastAsia="仿宋_GB2312" w:cs="仿宋_GB2312"/>
          <w:b/>
          <w:sz w:val="28"/>
          <w:szCs w:val="28"/>
          <w:highlight w:val="none"/>
          <w:lang w:val="en-US" w:eastAsia="zh-CN"/>
        </w:rPr>
        <w:t>25.5 工程变更价款支付</w:t>
      </w:r>
      <w:bookmarkEnd w:id="693"/>
      <w:bookmarkEnd w:id="694"/>
    </w:p>
    <w:p w14:paraId="37A4135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(1)追加(减)合同价款支付比例达到</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％时暂停支付。</w:t>
      </w:r>
    </w:p>
    <w:p w14:paraId="35FA23EE">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697" w:name="_Toc492905299"/>
      <w:bookmarkStart w:id="698" w:name="_Toc5136"/>
      <w:r>
        <w:rPr>
          <w:rFonts w:hint="eastAsia" w:ascii="仿宋_GB2312" w:hAnsi="仿宋_GB2312" w:eastAsia="仿宋_GB2312" w:cs="仿宋_GB2312"/>
          <w:b/>
          <w:sz w:val="28"/>
          <w:szCs w:val="28"/>
          <w:highlight w:val="none"/>
          <w:lang w:val="en-US" w:eastAsia="zh-CN"/>
        </w:rPr>
        <w:t>25.6 删减工作或工程的补偿</w:t>
      </w:r>
      <w:bookmarkEnd w:id="695"/>
      <w:bookmarkEnd w:id="696"/>
      <w:bookmarkEnd w:id="697"/>
      <w:bookmarkEnd w:id="698"/>
    </w:p>
    <w:p w14:paraId="34F7055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Pr>
          <w:rFonts w:hint="eastAsia" w:ascii="仿宋_GB2312" w:hAnsi="仿宋_GB2312" w:eastAsia="仿宋_GB2312" w:cs="仿宋_GB2312"/>
          <w:bCs/>
          <w:snapToGrid w:val="0"/>
          <w:kern w:val="0"/>
          <w:sz w:val="28"/>
          <w:szCs w:val="28"/>
          <w:highlight w:val="none"/>
          <w:u w:val="single"/>
        </w:rPr>
        <w:t xml:space="preserve">                                                   </w:t>
      </w:r>
    </w:p>
    <w:p w14:paraId="11FD921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50E98242">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699" w:name="_Toc7946"/>
      <w:bookmarkStart w:id="700" w:name="_Toc302636032"/>
      <w:bookmarkStart w:id="701" w:name="_Toc305331509"/>
      <w:bookmarkStart w:id="702" w:name="_Toc492905300"/>
      <w:r>
        <w:rPr>
          <w:rFonts w:hint="eastAsia" w:ascii="仿宋_GB2312" w:hAnsi="仿宋_GB2312" w:eastAsia="仿宋_GB2312" w:cs="仿宋_GB2312"/>
          <w:b/>
          <w:bCs w:val="0"/>
          <w:snapToGrid w:val="0"/>
          <w:kern w:val="0"/>
          <w:sz w:val="28"/>
          <w:szCs w:val="28"/>
          <w:highlight w:val="none"/>
        </w:rPr>
        <w:t>26 竣工验收</w:t>
      </w:r>
      <w:bookmarkEnd w:id="699"/>
      <w:bookmarkEnd w:id="700"/>
      <w:bookmarkEnd w:id="701"/>
      <w:bookmarkEnd w:id="702"/>
    </w:p>
    <w:p w14:paraId="2044937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03" w:name="_Toc305331510"/>
      <w:bookmarkStart w:id="704" w:name="_Toc302636033"/>
      <w:bookmarkStart w:id="705" w:name="_Toc16837"/>
      <w:bookmarkStart w:id="706" w:name="_Toc492905301"/>
      <w:r>
        <w:rPr>
          <w:rFonts w:hint="eastAsia" w:ascii="仿宋_GB2312" w:hAnsi="仿宋_GB2312" w:eastAsia="仿宋_GB2312" w:cs="仿宋_GB2312"/>
          <w:b/>
          <w:sz w:val="28"/>
          <w:szCs w:val="28"/>
          <w:highlight w:val="none"/>
          <w:lang w:val="en-US" w:eastAsia="zh-CN"/>
        </w:rPr>
        <w:t>26.1 竣工验收</w:t>
      </w:r>
      <w:bookmarkEnd w:id="703"/>
      <w:bookmarkEnd w:id="704"/>
      <w:bookmarkEnd w:id="705"/>
      <w:bookmarkEnd w:id="706"/>
    </w:p>
    <w:p w14:paraId="086618E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(2)承包人提供竣工资料的约定： </w:t>
      </w:r>
      <w:r>
        <w:rPr>
          <w:rFonts w:hint="eastAsia" w:ascii="仿宋_GB2312" w:hAnsi="仿宋_GB2312" w:eastAsia="仿宋_GB2312" w:cs="仿宋_GB2312"/>
          <w:bCs/>
          <w:snapToGrid w:val="0"/>
          <w:kern w:val="0"/>
          <w:sz w:val="28"/>
          <w:szCs w:val="28"/>
          <w:highlight w:val="none"/>
          <w:u w:val="single"/>
        </w:rPr>
        <w:t xml:space="preserve">                              </w:t>
      </w:r>
    </w:p>
    <w:p w14:paraId="3D340D5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188FCF8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25ACA9F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D03505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C9A0CC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(7) 本工程中须单独进行竣工验收的单项工程为：</w:t>
      </w:r>
      <w:r>
        <w:rPr>
          <w:rFonts w:hint="eastAsia" w:ascii="仿宋_GB2312" w:hAnsi="仿宋_GB2312" w:eastAsia="仿宋_GB2312" w:cs="仿宋_GB2312"/>
          <w:bCs/>
          <w:snapToGrid w:val="0"/>
          <w:kern w:val="0"/>
          <w:sz w:val="28"/>
          <w:szCs w:val="28"/>
          <w:highlight w:val="none"/>
          <w:u w:val="single"/>
        </w:rPr>
        <w:t xml:space="preserve">               </w:t>
      </w:r>
    </w:p>
    <w:p w14:paraId="700CB79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8D9487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52067E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07" w:name="_Toc305331511"/>
      <w:bookmarkStart w:id="708" w:name="_Toc302636034"/>
      <w:bookmarkStart w:id="709" w:name="_Toc492905302"/>
      <w:bookmarkStart w:id="710" w:name="_Toc29325"/>
      <w:r>
        <w:rPr>
          <w:rFonts w:hint="eastAsia" w:ascii="仿宋_GB2312" w:hAnsi="仿宋_GB2312" w:eastAsia="仿宋_GB2312" w:cs="仿宋_GB2312"/>
          <w:b/>
          <w:sz w:val="28"/>
          <w:szCs w:val="28"/>
          <w:highlight w:val="none"/>
          <w:lang w:val="en-US" w:eastAsia="zh-CN"/>
        </w:rPr>
        <w:t>26.2 竣工验收合格后的移交和清理</w:t>
      </w:r>
      <w:bookmarkEnd w:id="707"/>
      <w:bookmarkEnd w:id="708"/>
      <w:bookmarkEnd w:id="709"/>
      <w:bookmarkEnd w:id="710"/>
    </w:p>
    <w:p w14:paraId="0A392F9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(1)承包人不按时向发包人移交本工程的，每延迟一天，承包人向发包人支付违约金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1A6643C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(3)发包人无正当理由不接收工程的，发包人应承担以下违约责任：</w:t>
      </w:r>
      <w:r>
        <w:rPr>
          <w:rFonts w:hint="eastAsia" w:ascii="仿宋_GB2312" w:hAnsi="仿宋_GB2312" w:eastAsia="仿宋_GB2312" w:cs="仿宋_GB2312"/>
          <w:bCs/>
          <w:snapToGrid w:val="0"/>
          <w:kern w:val="0"/>
          <w:sz w:val="28"/>
          <w:szCs w:val="28"/>
          <w:highlight w:val="none"/>
          <w:u w:val="single"/>
        </w:rPr>
        <w:t xml:space="preserve"> </w:t>
      </w:r>
    </w:p>
    <w:p w14:paraId="7B98BDA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688F8060">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11" w:name="_Toc492905303"/>
      <w:bookmarkStart w:id="712" w:name="_Toc302636035"/>
      <w:bookmarkStart w:id="713" w:name="_Toc305331512"/>
      <w:bookmarkStart w:id="714" w:name="_Toc10622"/>
      <w:r>
        <w:rPr>
          <w:rFonts w:hint="eastAsia" w:ascii="仿宋_GB2312" w:hAnsi="仿宋_GB2312" w:eastAsia="仿宋_GB2312" w:cs="仿宋_GB2312"/>
          <w:b/>
          <w:sz w:val="28"/>
          <w:szCs w:val="28"/>
          <w:highlight w:val="none"/>
          <w:lang w:val="en-US" w:eastAsia="zh-CN"/>
        </w:rPr>
        <w:t>26.3 竣工验收质量不合格和重新验收</w:t>
      </w:r>
      <w:bookmarkEnd w:id="711"/>
      <w:bookmarkEnd w:id="712"/>
      <w:bookmarkEnd w:id="713"/>
      <w:bookmarkEnd w:id="714"/>
    </w:p>
    <w:p w14:paraId="5A8FAC1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(1)如本工程竣工验收质量未达到本合同约定的标准，承包人应承担以下违约责任：</w:t>
      </w:r>
      <w:r>
        <w:rPr>
          <w:rFonts w:hint="eastAsia" w:ascii="仿宋_GB2312" w:hAnsi="仿宋_GB2312" w:eastAsia="仿宋_GB2312" w:cs="仿宋_GB2312"/>
          <w:bCs/>
          <w:snapToGrid w:val="0"/>
          <w:kern w:val="0"/>
          <w:sz w:val="28"/>
          <w:szCs w:val="28"/>
          <w:highlight w:val="none"/>
          <w:u w:val="single"/>
        </w:rPr>
        <w:t xml:space="preserve">                                                 </w:t>
      </w:r>
    </w:p>
    <w:p w14:paraId="1375BD1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65CE85E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15" w:name="_Toc305331515"/>
      <w:bookmarkStart w:id="716" w:name="_Toc492905304"/>
      <w:bookmarkStart w:id="717" w:name="_Toc302636037"/>
      <w:bookmarkStart w:id="718" w:name="_Toc11324"/>
      <w:bookmarkStart w:id="719" w:name="_Toc305331514"/>
      <w:r>
        <w:rPr>
          <w:rFonts w:hint="eastAsia" w:ascii="仿宋_GB2312" w:hAnsi="仿宋_GB2312" w:eastAsia="仿宋_GB2312" w:cs="仿宋_GB2312"/>
          <w:b/>
          <w:sz w:val="28"/>
          <w:szCs w:val="28"/>
          <w:highlight w:val="none"/>
          <w:lang w:val="en-US" w:eastAsia="zh-CN"/>
        </w:rPr>
        <w:t>26.6 竣工验收工程质量争议处理</w:t>
      </w:r>
      <w:bookmarkEnd w:id="715"/>
      <w:bookmarkEnd w:id="716"/>
      <w:bookmarkEnd w:id="717"/>
      <w:bookmarkEnd w:id="718"/>
    </w:p>
    <w:p w14:paraId="63021CD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发包人与承包人对竣工验收工程质量有争议时共同委托的质量检测鉴定机构为：</w:t>
      </w:r>
      <w:r>
        <w:rPr>
          <w:rFonts w:hint="eastAsia" w:ascii="仿宋_GB2312" w:hAnsi="仿宋_GB2312" w:eastAsia="仿宋_GB2312" w:cs="仿宋_GB2312"/>
          <w:bCs/>
          <w:snapToGrid w:val="0"/>
          <w:kern w:val="0"/>
          <w:sz w:val="28"/>
          <w:szCs w:val="28"/>
          <w:highlight w:val="none"/>
          <w:u w:val="single"/>
        </w:rPr>
        <w:t xml:space="preserve">                                                   </w:t>
      </w:r>
    </w:p>
    <w:p w14:paraId="023C2FD2">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20" w:name="_Toc492905305"/>
      <w:bookmarkStart w:id="721" w:name="_Toc302636038"/>
      <w:bookmarkStart w:id="722" w:name="_Toc25343"/>
      <w:r>
        <w:rPr>
          <w:rFonts w:hint="eastAsia" w:ascii="仿宋_GB2312" w:hAnsi="仿宋_GB2312" w:eastAsia="仿宋_GB2312" w:cs="仿宋_GB2312"/>
          <w:b/>
          <w:sz w:val="28"/>
          <w:szCs w:val="28"/>
          <w:highlight w:val="none"/>
          <w:lang w:val="en-US" w:eastAsia="zh-CN"/>
        </w:rPr>
        <w:t>26.7 履约评价与优质优价</w:t>
      </w:r>
      <w:bookmarkEnd w:id="719"/>
      <w:bookmarkEnd w:id="720"/>
      <w:bookmarkEnd w:id="721"/>
      <w:bookmarkEnd w:id="722"/>
    </w:p>
    <w:p w14:paraId="76F9A4B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 发包人对承包人的履约评价约定(可另附页)：</w:t>
      </w:r>
      <w:r>
        <w:rPr>
          <w:rFonts w:hint="eastAsia" w:ascii="仿宋_GB2312" w:hAnsi="仿宋_GB2312" w:eastAsia="仿宋_GB2312" w:cs="仿宋_GB2312"/>
          <w:bCs/>
          <w:snapToGrid w:val="0"/>
          <w:kern w:val="0"/>
          <w:sz w:val="28"/>
          <w:szCs w:val="28"/>
          <w:highlight w:val="none"/>
          <w:u w:val="single"/>
        </w:rPr>
        <w:t xml:space="preserve">                </w:t>
      </w:r>
    </w:p>
    <w:p w14:paraId="6B1B2C7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09C19A0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B44CDF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454F93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7C8B55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AB446C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(2)履约评价奖励：发包人负责组织相关单位对承包人进行履约评价，对履约评价为良好及以上等级的，发包人应给予承包人本工程签约合同价的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%作为奖励。</w:t>
      </w:r>
    </w:p>
    <w:p w14:paraId="0C64D09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工程创优奖励：对履约评价为良好及以上等级，且取得市级工程质量奖项的，发包人应在履约评价奖励基础上给予承包人追加本工程签约合同价的</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%作为奖励。</w:t>
      </w:r>
    </w:p>
    <w:p w14:paraId="3E4CDCE7">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723" w:name="_Toc492905306"/>
      <w:bookmarkStart w:id="724" w:name="_Toc305331516"/>
      <w:bookmarkStart w:id="725" w:name="_Toc302636039"/>
      <w:bookmarkStart w:id="726" w:name="_Toc8372"/>
      <w:r>
        <w:rPr>
          <w:rFonts w:hint="eastAsia" w:ascii="仿宋_GB2312" w:hAnsi="仿宋_GB2312" w:eastAsia="仿宋_GB2312" w:cs="仿宋_GB2312"/>
          <w:b/>
          <w:bCs w:val="0"/>
          <w:snapToGrid w:val="0"/>
          <w:kern w:val="0"/>
          <w:sz w:val="28"/>
          <w:szCs w:val="28"/>
          <w:highlight w:val="none"/>
        </w:rPr>
        <w:t>27 竣工结算</w:t>
      </w:r>
      <w:bookmarkEnd w:id="723"/>
      <w:bookmarkEnd w:id="724"/>
      <w:bookmarkEnd w:id="725"/>
      <w:bookmarkEnd w:id="726"/>
    </w:p>
    <w:p w14:paraId="312233F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27" w:name="_Toc302636040"/>
      <w:bookmarkStart w:id="728" w:name="_Toc9417"/>
      <w:bookmarkStart w:id="729" w:name="_Toc492905307"/>
      <w:bookmarkStart w:id="730" w:name="_Toc305331517"/>
      <w:r>
        <w:rPr>
          <w:rFonts w:hint="eastAsia" w:ascii="仿宋_GB2312" w:hAnsi="仿宋_GB2312" w:eastAsia="仿宋_GB2312" w:cs="仿宋_GB2312"/>
          <w:b/>
          <w:sz w:val="28"/>
          <w:szCs w:val="28"/>
          <w:highlight w:val="none"/>
          <w:lang w:val="en-US" w:eastAsia="zh-CN"/>
        </w:rPr>
        <w:t>27.1 竣工结算书的编制和提交</w:t>
      </w:r>
      <w:bookmarkEnd w:id="727"/>
      <w:bookmarkEnd w:id="728"/>
      <w:bookmarkEnd w:id="729"/>
      <w:bookmarkEnd w:id="730"/>
    </w:p>
    <w:p w14:paraId="6DFC7650">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(1)关于施工过程结算的具体约定：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3F4DABB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(2)承包人向发包人提交竣工结算书及完整的结算资料的时间要求为本工程竣工验收合格后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天。</w:t>
      </w:r>
    </w:p>
    <w:p w14:paraId="5B714E5C">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31" w:name="_Toc492905308"/>
      <w:bookmarkStart w:id="732" w:name="_Toc30561"/>
      <w:bookmarkStart w:id="733" w:name="_Toc305331518"/>
      <w:bookmarkStart w:id="734" w:name="_Toc302636041"/>
      <w:r>
        <w:rPr>
          <w:rFonts w:hint="eastAsia" w:ascii="仿宋_GB2312" w:hAnsi="仿宋_GB2312" w:eastAsia="仿宋_GB2312" w:cs="仿宋_GB2312"/>
          <w:b/>
          <w:sz w:val="28"/>
          <w:szCs w:val="28"/>
          <w:highlight w:val="none"/>
          <w:lang w:val="en-US" w:eastAsia="zh-CN"/>
        </w:rPr>
        <w:t>27.2 竣工结算书的核对和修改</w:t>
      </w:r>
      <w:bookmarkEnd w:id="731"/>
      <w:bookmarkEnd w:id="732"/>
      <w:bookmarkEnd w:id="733"/>
      <w:bookmarkEnd w:id="734"/>
    </w:p>
    <w:p w14:paraId="407013F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(1)发包人核对竣工结算书的期限为承包人提交竣工结算书和完整结算资料后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w:t>
      </w:r>
    </w:p>
    <w:p w14:paraId="27FFAEF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(2)承包人提交修改竣工结算书或补充结算资料的期限为发包人提出核对意见或补充结算资料要求后</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天；发包人核对经修改的竣工结算书的期限为承包人提交修改竣工结算书或补充结算资料后</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天。</w:t>
      </w:r>
    </w:p>
    <w:p w14:paraId="78119BF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(3)对发包人提出的核对意见承包人应提出异议的期限为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天。</w:t>
      </w:r>
    </w:p>
    <w:p w14:paraId="0F178D5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35" w:name="_Toc24514"/>
      <w:bookmarkStart w:id="736" w:name="_Toc305331519"/>
      <w:bookmarkStart w:id="737" w:name="_Toc492905309"/>
      <w:bookmarkStart w:id="738" w:name="_Toc302636042"/>
      <w:r>
        <w:rPr>
          <w:rFonts w:hint="eastAsia" w:ascii="仿宋_GB2312" w:hAnsi="仿宋_GB2312" w:eastAsia="仿宋_GB2312" w:cs="仿宋_GB2312"/>
          <w:b/>
          <w:sz w:val="28"/>
          <w:szCs w:val="28"/>
          <w:highlight w:val="none"/>
          <w:lang w:val="en-US" w:eastAsia="zh-CN"/>
        </w:rPr>
        <w:t>27.3 竣工结算书核对次数</w:t>
      </w:r>
      <w:bookmarkEnd w:id="735"/>
      <w:bookmarkEnd w:id="736"/>
      <w:bookmarkEnd w:id="737"/>
      <w:bookmarkEnd w:id="738"/>
    </w:p>
    <w:p w14:paraId="3AADA55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(1)发包人指派的竣工结算核对人为：</w:t>
      </w:r>
      <w:r>
        <w:rPr>
          <w:rFonts w:hint="eastAsia" w:ascii="仿宋_GB2312" w:hAnsi="仿宋_GB2312" w:eastAsia="仿宋_GB2312" w:cs="仿宋_GB2312"/>
          <w:bCs/>
          <w:snapToGrid w:val="0"/>
          <w:kern w:val="0"/>
          <w:sz w:val="28"/>
          <w:szCs w:val="28"/>
          <w:highlight w:val="none"/>
          <w:u w:val="single"/>
        </w:rPr>
        <w:t xml:space="preserve">                            </w:t>
      </w:r>
    </w:p>
    <w:p w14:paraId="6F370DE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核对次数为：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次。    </w:t>
      </w:r>
    </w:p>
    <w:p w14:paraId="0B42F48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39" w:name="_Toc20497"/>
      <w:bookmarkStart w:id="740" w:name="_Toc492905310"/>
      <w:bookmarkStart w:id="741" w:name="_Toc302636043"/>
      <w:r>
        <w:rPr>
          <w:rFonts w:hint="eastAsia" w:ascii="仿宋_GB2312" w:hAnsi="仿宋_GB2312" w:eastAsia="仿宋_GB2312" w:cs="仿宋_GB2312"/>
          <w:b/>
          <w:sz w:val="28"/>
          <w:szCs w:val="28"/>
          <w:highlight w:val="none"/>
          <w:lang w:val="en-US" w:eastAsia="zh-CN"/>
        </w:rPr>
        <w:t>27.4 承包人不提交竣工结算书</w:t>
      </w:r>
      <w:bookmarkEnd w:id="739"/>
      <w:bookmarkEnd w:id="740"/>
    </w:p>
    <w:p w14:paraId="5257F33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承包人在收到监理人通知14天内仍不提交竣工结算书及结算资料的，发包人选择以下方式处理：</w:t>
      </w:r>
    </w:p>
    <w:p w14:paraId="016CC2C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①发包人根据已有资料审查、核实确定竣工结算价款；</w:t>
      </w:r>
    </w:p>
    <w:p w14:paraId="22FA5B2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②延期一天处以承包人签约合同价</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％的罚款，罚款金额不超过签约合同价</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AA6F6B6">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42" w:name="_Toc25852"/>
      <w:bookmarkStart w:id="743" w:name="_Toc492905311"/>
      <w:r>
        <w:rPr>
          <w:rFonts w:hint="eastAsia" w:ascii="仿宋_GB2312" w:hAnsi="仿宋_GB2312" w:eastAsia="仿宋_GB2312" w:cs="仿宋_GB2312"/>
          <w:b/>
          <w:sz w:val="28"/>
          <w:szCs w:val="28"/>
          <w:highlight w:val="none"/>
          <w:lang w:val="en-US" w:eastAsia="zh-CN"/>
        </w:rPr>
        <w:t>27.5 发包人逾期不结算</w:t>
      </w:r>
      <w:bookmarkEnd w:id="741"/>
      <w:bookmarkEnd w:id="742"/>
      <w:bookmarkEnd w:id="743"/>
    </w:p>
    <w:p w14:paraId="4CE9C00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发包人收到竣工结算书及结算资料的处理时限为：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6AC9E00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发包人收到经修改的竣工结算书或补充结算资料的处理时限为：</w:t>
      </w:r>
      <w:r>
        <w:rPr>
          <w:rFonts w:hint="eastAsia" w:ascii="仿宋_GB2312" w:hAnsi="仿宋_GB2312" w:eastAsia="仿宋_GB2312" w:cs="仿宋_GB2312"/>
          <w:bCs/>
          <w:snapToGrid w:val="0"/>
          <w:kern w:val="0"/>
          <w:sz w:val="28"/>
          <w:szCs w:val="28"/>
          <w:highlight w:val="none"/>
          <w:u w:val="single"/>
        </w:rPr>
        <w:t xml:space="preserve">   </w:t>
      </w:r>
    </w:p>
    <w:p w14:paraId="7EACC30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u w:val="none"/>
        </w:rPr>
        <w:t>。</w:t>
      </w:r>
    </w:p>
    <w:p w14:paraId="031AF2A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44" w:name="_Toc3621"/>
      <w:bookmarkStart w:id="745" w:name="_Toc492905312"/>
      <w:bookmarkStart w:id="746" w:name="_Toc302636044"/>
      <w:r>
        <w:rPr>
          <w:rFonts w:hint="eastAsia" w:ascii="仿宋_GB2312" w:hAnsi="仿宋_GB2312" w:eastAsia="仿宋_GB2312" w:cs="仿宋_GB2312"/>
          <w:b/>
          <w:sz w:val="28"/>
          <w:szCs w:val="28"/>
          <w:highlight w:val="none"/>
          <w:lang w:val="en-US" w:eastAsia="zh-CN"/>
        </w:rPr>
        <w:t>27.6 竣工结算审计或审核</w:t>
      </w:r>
      <w:bookmarkEnd w:id="744"/>
      <w:bookmarkEnd w:id="745"/>
    </w:p>
    <w:p w14:paraId="17F9F38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(1)在以下情况下，发包人可启动强制结算机制，将其单方编制的结算文件送审计或审核：</w:t>
      </w:r>
      <w:r>
        <w:rPr>
          <w:rFonts w:hint="eastAsia" w:ascii="仿宋_GB2312" w:hAnsi="仿宋_GB2312" w:eastAsia="仿宋_GB2312" w:cs="仿宋_GB2312"/>
          <w:bCs/>
          <w:snapToGrid w:val="0"/>
          <w:kern w:val="0"/>
          <w:sz w:val="28"/>
          <w:szCs w:val="28"/>
          <w:highlight w:val="none"/>
          <w:u w:val="single"/>
        </w:rPr>
        <w:t xml:space="preserve">                                            </w:t>
      </w:r>
    </w:p>
    <w:p w14:paraId="5A7D462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9A4FB6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256CB7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(2)本合同最终的竣工结算和支付依据约定如下：（注：只能选择一种方式，在选定的方式前的“□”内打“</w:t>
      </w:r>
      <w:r>
        <w:rPr>
          <w:rFonts w:hint="eastAsia" w:ascii="仿宋_GB2312" w:hAnsi="仿宋_GB2312" w:eastAsia="仿宋_GB2312" w:cs="仿宋_GB2312"/>
          <w:bCs/>
          <w:snapToGrid w:val="0"/>
          <w:kern w:val="0"/>
          <w:sz w:val="28"/>
          <w:szCs w:val="28"/>
          <w:highlight w:val="none"/>
        </w:rPr>
        <w:sym w:font="Symbol" w:char="F0D6"/>
      </w:r>
      <w:r>
        <w:rPr>
          <w:rFonts w:hint="eastAsia" w:ascii="仿宋_GB2312" w:hAnsi="仿宋_GB2312" w:eastAsia="仿宋_GB2312" w:cs="仿宋_GB2312"/>
          <w:bCs/>
          <w:snapToGrid w:val="0"/>
          <w:kern w:val="0"/>
          <w:sz w:val="28"/>
          <w:szCs w:val="28"/>
          <w:highlight w:val="none"/>
        </w:rPr>
        <w:t>”）</w:t>
      </w:r>
    </w:p>
    <w:p w14:paraId="0F40A6D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□以经过政府指定机构审计或审核结果作为最终的竣工结算和支付依据。</w:t>
      </w:r>
    </w:p>
    <w:p w14:paraId="63E1F53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□以</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作为最终的竣工结算和支付依据。</w:t>
      </w:r>
    </w:p>
    <w:p w14:paraId="4B1A3A1D">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47" w:name="_Toc492905313"/>
      <w:bookmarkStart w:id="748" w:name="_Toc20126"/>
      <w:r>
        <w:rPr>
          <w:rFonts w:hint="eastAsia" w:ascii="仿宋_GB2312" w:hAnsi="仿宋_GB2312" w:eastAsia="仿宋_GB2312" w:cs="仿宋_GB2312"/>
          <w:b/>
          <w:sz w:val="28"/>
          <w:szCs w:val="28"/>
          <w:highlight w:val="none"/>
          <w:lang w:val="en-US" w:eastAsia="zh-CN"/>
        </w:rPr>
        <w:t>27.8 最终结清申请</w:t>
      </w:r>
      <w:bookmarkEnd w:id="746"/>
      <w:bookmarkEnd w:id="747"/>
      <w:bookmarkEnd w:id="748"/>
    </w:p>
    <w:p w14:paraId="285DC94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(1) 承包人提交最终结清申请单的份数：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3EAF319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最终结清申请单关于质量保证金、应扣除的质量保证金、缺陷责任期内发生的增减费用的约定：</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1DD41655">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49" w:name="_Toc15941"/>
      <w:bookmarkStart w:id="750" w:name="_Toc302636045"/>
      <w:bookmarkStart w:id="751" w:name="_Toc492905314"/>
      <w:r>
        <w:rPr>
          <w:rFonts w:hint="eastAsia" w:ascii="仿宋_GB2312" w:hAnsi="仿宋_GB2312" w:eastAsia="仿宋_GB2312" w:cs="仿宋_GB2312"/>
          <w:b/>
          <w:sz w:val="28"/>
          <w:szCs w:val="28"/>
          <w:highlight w:val="none"/>
          <w:lang w:val="en-US" w:eastAsia="zh-CN"/>
        </w:rPr>
        <w:t>27.9 最终结清证书和支付</w:t>
      </w:r>
      <w:bookmarkEnd w:id="749"/>
      <w:bookmarkEnd w:id="750"/>
      <w:bookmarkEnd w:id="751"/>
    </w:p>
    <w:p w14:paraId="0A5C587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（1）发包人完成最终结清申请的审批并颁发最终结清证书的期限：</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1BCE8BB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（2）发包人完成支付的期限：</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CF90179">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752" w:name="_Toc302636046"/>
      <w:bookmarkStart w:id="753" w:name="_Toc27976"/>
      <w:bookmarkStart w:id="754" w:name="_Toc492905315"/>
      <w:bookmarkStart w:id="755" w:name="_Toc305331520"/>
      <w:bookmarkStart w:id="756" w:name="_Toc35656549"/>
      <w:r>
        <w:rPr>
          <w:rFonts w:hint="eastAsia" w:ascii="仿宋_GB2312" w:hAnsi="仿宋_GB2312" w:eastAsia="仿宋_GB2312" w:cs="仿宋_GB2312"/>
          <w:b/>
          <w:bCs w:val="0"/>
          <w:snapToGrid w:val="0"/>
          <w:kern w:val="0"/>
          <w:sz w:val="28"/>
          <w:szCs w:val="28"/>
          <w:highlight w:val="none"/>
        </w:rPr>
        <w:t>28 违约</w:t>
      </w:r>
      <w:bookmarkEnd w:id="752"/>
      <w:bookmarkEnd w:id="753"/>
      <w:bookmarkEnd w:id="754"/>
      <w:bookmarkEnd w:id="755"/>
      <w:bookmarkEnd w:id="756"/>
    </w:p>
    <w:p w14:paraId="044A9E43">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57" w:name="_Toc305331521"/>
      <w:bookmarkStart w:id="758" w:name="_Toc492905316"/>
      <w:bookmarkStart w:id="759" w:name="_Toc29382"/>
      <w:bookmarkStart w:id="760" w:name="_Toc302636047"/>
      <w:r>
        <w:rPr>
          <w:rFonts w:hint="eastAsia" w:ascii="仿宋_GB2312" w:hAnsi="仿宋_GB2312" w:eastAsia="仿宋_GB2312" w:cs="仿宋_GB2312"/>
          <w:b/>
          <w:sz w:val="28"/>
          <w:szCs w:val="28"/>
          <w:highlight w:val="none"/>
          <w:lang w:val="en-US" w:eastAsia="zh-CN"/>
        </w:rPr>
        <w:t>28.1 发包人违约</w:t>
      </w:r>
      <w:bookmarkEnd w:id="757"/>
      <w:bookmarkEnd w:id="758"/>
      <w:bookmarkEnd w:id="759"/>
      <w:bookmarkEnd w:id="760"/>
    </w:p>
    <w:p w14:paraId="062F31A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bookmarkStart w:id="761" w:name="_Toc305331522"/>
      <w:r>
        <w:rPr>
          <w:rFonts w:hint="eastAsia" w:ascii="仿宋_GB2312" w:hAnsi="仿宋_GB2312" w:eastAsia="仿宋_GB2312" w:cs="仿宋_GB2312"/>
          <w:bCs/>
          <w:snapToGrid w:val="0"/>
          <w:kern w:val="0"/>
          <w:sz w:val="28"/>
          <w:szCs w:val="28"/>
          <w:highlight w:val="none"/>
        </w:rPr>
        <w:t>发包人违约责任的承担方式和计算方法：</w:t>
      </w:r>
    </w:p>
    <w:p w14:paraId="10B0029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（1）因发包人原因未能在计划开工日期前7天内下达开工通知的违约责任：</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6E02BDB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（2）因发包人原因未能按合同约定支付合同价款的违约责任：</w:t>
      </w:r>
      <w:r>
        <w:rPr>
          <w:rFonts w:hint="eastAsia" w:ascii="仿宋_GB2312" w:hAnsi="仿宋_GB2312" w:eastAsia="仿宋_GB2312" w:cs="仿宋_GB2312"/>
          <w:bCs/>
          <w:snapToGrid w:val="0"/>
          <w:kern w:val="0"/>
          <w:sz w:val="28"/>
          <w:szCs w:val="28"/>
          <w:highlight w:val="none"/>
          <w:u w:val="single"/>
        </w:rPr>
        <w:t xml:space="preserve">     </w:t>
      </w:r>
    </w:p>
    <w:p w14:paraId="478482B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1E0B6579">
      <w:pPr>
        <w:pageBreakBefore w:val="0"/>
        <w:numPr>
          <w:ilvl w:val="0"/>
          <w:numId w:val="8"/>
        </w:numPr>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发包人提供的材料、工程设备的规格、数量或质量不符合合同约定，或因发包人原因导致交货日期延误或交货地点变更等情况的违约责</w:t>
      </w:r>
    </w:p>
    <w:p w14:paraId="1D095216">
      <w:pPr>
        <w:pageBreakBefore w:val="0"/>
        <w:numPr>
          <w:ilvl w:val="-1"/>
          <w:numId w:val="0"/>
        </w:numPr>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任：                                                                          </w:t>
      </w:r>
      <w:r>
        <w:rPr>
          <w:rFonts w:hint="eastAsia" w:ascii="仿宋_GB2312" w:hAnsi="仿宋_GB2312" w:eastAsia="仿宋_GB2312" w:cs="仿宋_GB2312"/>
          <w:bCs/>
          <w:snapToGrid w:val="0"/>
          <w:kern w:val="0"/>
          <w:sz w:val="28"/>
          <w:szCs w:val="28"/>
          <w:highlight w:val="none"/>
        </w:rPr>
        <w:t>。</w:t>
      </w:r>
    </w:p>
    <w:p w14:paraId="22A6EFF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 xml:space="preserve">（4）因发包人违反合同约定造成暂停施工的违约责任： </w:t>
      </w:r>
      <w:r>
        <w:rPr>
          <w:rFonts w:hint="eastAsia" w:ascii="仿宋_GB2312" w:hAnsi="仿宋_GB2312" w:eastAsia="仿宋_GB2312" w:cs="仿宋_GB2312"/>
          <w:bCs/>
          <w:snapToGrid w:val="0"/>
          <w:kern w:val="0"/>
          <w:sz w:val="28"/>
          <w:szCs w:val="28"/>
          <w:highlight w:val="none"/>
          <w:u w:val="single"/>
        </w:rPr>
        <w:t xml:space="preserve">         </w:t>
      </w:r>
    </w:p>
    <w:p w14:paraId="411B44A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0DE3614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（5）发包人无正当理由没有在约定期限内发出复工指示，导致承包人无法复工的违约责任：</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C59D62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（6）发包人明确表示或其行为表明不履行合同主要义务的违约责任：</w:t>
      </w:r>
      <w:r>
        <w:rPr>
          <w:rFonts w:hint="eastAsia" w:ascii="仿宋_GB2312" w:hAnsi="仿宋_GB2312" w:eastAsia="仿宋_GB2312" w:cs="仿宋_GB2312"/>
          <w:bCs/>
          <w:snapToGrid w:val="0"/>
          <w:kern w:val="0"/>
          <w:sz w:val="28"/>
          <w:szCs w:val="28"/>
          <w:highlight w:val="none"/>
          <w:u w:val="single"/>
        </w:rPr>
        <w:t xml:space="preserve"> </w:t>
      </w:r>
    </w:p>
    <w:p w14:paraId="659B193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70DE1E2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（7）其他：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3917B20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62" w:name="_Toc17769"/>
      <w:bookmarkStart w:id="763" w:name="_Toc492905317"/>
      <w:bookmarkStart w:id="764" w:name="_Toc302636048"/>
      <w:r>
        <w:rPr>
          <w:rFonts w:hint="eastAsia" w:ascii="仿宋_GB2312" w:hAnsi="仿宋_GB2312" w:eastAsia="仿宋_GB2312" w:cs="仿宋_GB2312"/>
          <w:b/>
          <w:sz w:val="28"/>
          <w:szCs w:val="28"/>
          <w:highlight w:val="none"/>
          <w:lang w:val="en-US" w:eastAsia="zh-CN"/>
        </w:rPr>
        <w:t>28.2 承包人违约</w:t>
      </w:r>
      <w:bookmarkEnd w:id="761"/>
      <w:bookmarkEnd w:id="762"/>
      <w:bookmarkEnd w:id="763"/>
      <w:bookmarkEnd w:id="764"/>
    </w:p>
    <w:p w14:paraId="364970D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（1）承包人违反合同约定进行转包或违法分包的违约责任：</w:t>
      </w:r>
      <w:r>
        <w:rPr>
          <w:rFonts w:hint="eastAsia" w:ascii="仿宋_GB2312" w:hAnsi="仿宋_GB2312" w:eastAsia="仿宋_GB2312" w:cs="仿宋_GB2312"/>
          <w:bCs/>
          <w:snapToGrid w:val="0"/>
          <w:kern w:val="0"/>
          <w:sz w:val="28"/>
          <w:szCs w:val="28"/>
          <w:highlight w:val="none"/>
          <w:u w:val="single"/>
        </w:rPr>
        <w:t xml:space="preserve">       </w:t>
      </w:r>
    </w:p>
    <w:p w14:paraId="1901D69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500FA89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（2）承包人违反合同约定采购和使用不合格的材料和工程设备的违约责任：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5DBA567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（3）因承包人原因导致工程质量不符合合同要求的违约责任：</w:t>
      </w:r>
      <w:r>
        <w:rPr>
          <w:rFonts w:hint="eastAsia" w:ascii="仿宋_GB2312" w:hAnsi="仿宋_GB2312" w:eastAsia="仿宋_GB2312" w:cs="仿宋_GB2312"/>
          <w:bCs/>
          <w:snapToGrid w:val="0"/>
          <w:kern w:val="0"/>
          <w:sz w:val="28"/>
          <w:szCs w:val="28"/>
          <w:highlight w:val="none"/>
          <w:u w:val="single"/>
        </w:rPr>
        <w:t xml:space="preserve">     </w:t>
      </w:r>
    </w:p>
    <w:p w14:paraId="2FA7E28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0550514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（4）承包人未经批准，私自将已按照合同约定进入施工现场的材料或设备撤离施工现场的违约责任：</w:t>
      </w:r>
      <w:r>
        <w:rPr>
          <w:rFonts w:hint="eastAsia" w:ascii="仿宋_GB2312" w:hAnsi="仿宋_GB2312" w:eastAsia="仿宋_GB2312" w:cs="仿宋_GB2312"/>
          <w:bCs/>
          <w:snapToGrid w:val="0"/>
          <w:kern w:val="0"/>
          <w:sz w:val="28"/>
          <w:szCs w:val="28"/>
          <w:highlight w:val="none"/>
          <w:u w:val="single"/>
        </w:rPr>
        <w:t xml:space="preserve">                                 </w:t>
      </w:r>
    </w:p>
    <w:p w14:paraId="5DD6413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165D470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（5）承包人未能按施工进度计划及时完成合同约定的工作，造成工期延误的违约责任：</w:t>
      </w:r>
      <w:r>
        <w:rPr>
          <w:rFonts w:hint="eastAsia" w:ascii="仿宋_GB2312" w:hAnsi="仿宋_GB2312" w:eastAsia="仿宋_GB2312" w:cs="仿宋_GB2312"/>
          <w:bCs/>
          <w:snapToGrid w:val="0"/>
          <w:kern w:val="0"/>
          <w:sz w:val="28"/>
          <w:szCs w:val="28"/>
          <w:highlight w:val="none"/>
          <w:u w:val="single"/>
        </w:rPr>
        <w:t xml:space="preserve">                                              </w:t>
      </w:r>
    </w:p>
    <w:p w14:paraId="2FD01BF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51AB5ED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（6）承包人在缺陷责任期及保修期内，未能在合理期限对工程缺陷进行修复，或拒绝按发包人要求进行修复的违约责任：</w:t>
      </w:r>
      <w:r>
        <w:rPr>
          <w:rFonts w:hint="eastAsia" w:ascii="仿宋_GB2312" w:hAnsi="仿宋_GB2312" w:eastAsia="仿宋_GB2312" w:cs="仿宋_GB2312"/>
          <w:bCs/>
          <w:snapToGrid w:val="0"/>
          <w:kern w:val="0"/>
          <w:sz w:val="28"/>
          <w:szCs w:val="28"/>
          <w:highlight w:val="none"/>
          <w:u w:val="single"/>
        </w:rPr>
        <w:t xml:space="preserve">                </w:t>
      </w:r>
    </w:p>
    <w:p w14:paraId="7FDF5FD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7B1C9F16">
      <w:pPr>
        <w:pageBreakBefore w:val="0"/>
        <w:numPr>
          <w:ilvl w:val="0"/>
          <w:numId w:val="0"/>
        </w:numPr>
        <w:kinsoku/>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bCs/>
          <w:snapToGrid w:val="0"/>
          <w:kern w:val="0"/>
          <w:sz w:val="28"/>
          <w:szCs w:val="28"/>
          <w:highlight w:val="none"/>
        </w:rPr>
        <w:t>（7）</w:t>
      </w:r>
      <w:r>
        <w:rPr>
          <w:rFonts w:hint="eastAsia" w:ascii="仿宋" w:hAnsi="仿宋" w:eastAsia="仿宋" w:cs="仿宋"/>
          <w:sz w:val="28"/>
          <w:szCs w:val="28"/>
          <w:highlight w:val="none"/>
        </w:rPr>
        <w:t>承包人未按合同约定的时间提交BIM成果的违约责任：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14:paraId="5E31411E">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lang w:eastAsia="zh-CN"/>
        </w:rPr>
        <w:t>；</w:t>
      </w:r>
    </w:p>
    <w:p w14:paraId="4F97ED0E">
      <w:pPr>
        <w:pageBreakBefore w:val="0"/>
        <w:kinsoku/>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承包人未按合同约定的实施要求、执行标准提交BIM成果的违约责任：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14:paraId="3663C329">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lang w:eastAsia="zh-CN"/>
        </w:rPr>
        <w:t>；</w:t>
      </w:r>
    </w:p>
    <w:p w14:paraId="59D8F0A0">
      <w:pPr>
        <w:pageBreakBefore w:val="0"/>
        <w:kinsoku/>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rPr>
        <w:t>其他情形的违约责任：</w:t>
      </w:r>
      <w:r>
        <w:rPr>
          <w:rFonts w:hint="eastAsia" w:ascii="仿宋" w:hAnsi="仿宋" w:eastAsia="仿宋" w:cs="仿宋"/>
          <w:sz w:val="28"/>
          <w:szCs w:val="28"/>
          <w:highlight w:val="none"/>
          <w:u w:val="single"/>
          <w:lang w:val="en-US" w:eastAsia="zh-CN"/>
        </w:rPr>
        <w:t xml:space="preserve">                                               </w:t>
      </w:r>
    </w:p>
    <w:p w14:paraId="2EEB409C">
      <w:pPr>
        <w:pageBreakBefore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bCs/>
          <w:snapToGrid w:val="0"/>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lang w:eastAsia="zh-CN"/>
        </w:rPr>
        <w:t>。</w:t>
      </w:r>
    </w:p>
    <w:p w14:paraId="48224A8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（8）承包人明确表示或其行为表明不履行合同主要义务的违约责任：</w:t>
      </w:r>
      <w:r>
        <w:rPr>
          <w:rFonts w:hint="eastAsia" w:ascii="仿宋_GB2312" w:hAnsi="仿宋_GB2312" w:eastAsia="仿宋_GB2312" w:cs="仿宋_GB2312"/>
          <w:bCs/>
          <w:snapToGrid w:val="0"/>
          <w:kern w:val="0"/>
          <w:sz w:val="28"/>
          <w:szCs w:val="28"/>
          <w:highlight w:val="none"/>
          <w:u w:val="single"/>
        </w:rPr>
        <w:t xml:space="preserve"> </w:t>
      </w:r>
    </w:p>
    <w:p w14:paraId="1DEEE99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067F951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lang w:eastAsia="zh-CN"/>
        </w:rPr>
        <w:t>（</w:t>
      </w:r>
      <w:r>
        <w:rPr>
          <w:rFonts w:hint="eastAsia" w:ascii="仿宋_GB2312" w:hAnsi="仿宋_GB2312" w:eastAsia="仿宋_GB2312" w:cs="仿宋_GB2312"/>
          <w:bCs/>
          <w:snapToGrid w:val="0"/>
          <w:kern w:val="0"/>
          <w:sz w:val="28"/>
          <w:szCs w:val="28"/>
          <w:highlight w:val="none"/>
          <w:lang w:val="en-US" w:eastAsia="zh-CN"/>
        </w:rPr>
        <w:t>9</w:t>
      </w:r>
      <w:r>
        <w:rPr>
          <w:rFonts w:hint="eastAsia" w:ascii="仿宋_GB2312" w:hAnsi="仿宋_GB2312" w:eastAsia="仿宋_GB2312" w:cs="仿宋_GB2312"/>
          <w:bCs/>
          <w:snapToGrid w:val="0"/>
          <w:kern w:val="0"/>
          <w:sz w:val="28"/>
          <w:szCs w:val="28"/>
          <w:highlight w:val="none"/>
          <w:lang w:eastAsia="zh-CN"/>
        </w:rPr>
        <w:t>）</w:t>
      </w:r>
      <w:r>
        <w:rPr>
          <w:rFonts w:hint="eastAsia" w:ascii="仿宋_GB2312" w:hAnsi="仿宋_GB2312" w:eastAsia="仿宋_GB2312" w:cs="仿宋_GB2312"/>
          <w:bCs/>
          <w:snapToGrid w:val="0"/>
          <w:kern w:val="0"/>
          <w:sz w:val="28"/>
          <w:szCs w:val="28"/>
          <w:highlight w:val="none"/>
        </w:rPr>
        <w:t>其他：</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1F41645A">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765" w:name="_Toc492905318"/>
      <w:bookmarkStart w:id="766" w:name="_Toc5149"/>
      <w:bookmarkStart w:id="767" w:name="_Toc305331523"/>
      <w:bookmarkStart w:id="768" w:name="_Toc35656550"/>
      <w:bookmarkStart w:id="769" w:name="_Toc302636049"/>
      <w:r>
        <w:rPr>
          <w:rFonts w:hint="eastAsia" w:ascii="仿宋_GB2312" w:hAnsi="仿宋_GB2312" w:eastAsia="仿宋_GB2312" w:cs="仿宋_GB2312"/>
          <w:b/>
          <w:bCs w:val="0"/>
          <w:snapToGrid w:val="0"/>
          <w:kern w:val="0"/>
          <w:sz w:val="28"/>
          <w:szCs w:val="28"/>
          <w:highlight w:val="none"/>
        </w:rPr>
        <w:t>29 索赔</w:t>
      </w:r>
      <w:bookmarkEnd w:id="765"/>
      <w:bookmarkEnd w:id="766"/>
    </w:p>
    <w:p w14:paraId="24ADB54F">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70" w:name="_Toc492905319"/>
      <w:bookmarkStart w:id="771" w:name="_Toc17495"/>
      <w:r>
        <w:rPr>
          <w:rFonts w:hint="eastAsia" w:ascii="仿宋_GB2312" w:hAnsi="仿宋_GB2312" w:eastAsia="仿宋_GB2312" w:cs="仿宋_GB2312"/>
          <w:b/>
          <w:sz w:val="28"/>
          <w:szCs w:val="28"/>
          <w:highlight w:val="none"/>
          <w:lang w:val="en-US" w:eastAsia="zh-CN"/>
        </w:rPr>
        <w:t>29.3 发包人索赔情形</w:t>
      </w:r>
      <w:bookmarkEnd w:id="770"/>
      <w:bookmarkEnd w:id="771"/>
    </w:p>
    <w:p w14:paraId="1B7210C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(4)发包人可向承包人提出索赔的其他情形：</w:t>
      </w:r>
      <w:r>
        <w:rPr>
          <w:rFonts w:hint="eastAsia" w:ascii="仿宋_GB2312" w:hAnsi="仿宋_GB2312" w:eastAsia="仿宋_GB2312" w:cs="仿宋_GB2312"/>
          <w:bCs/>
          <w:snapToGrid w:val="0"/>
          <w:kern w:val="0"/>
          <w:sz w:val="28"/>
          <w:szCs w:val="28"/>
          <w:highlight w:val="none"/>
          <w:u w:val="single"/>
        </w:rPr>
        <w:t xml:space="preserve">                     </w:t>
      </w:r>
    </w:p>
    <w:p w14:paraId="609E9B2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72" w:name="_Toc19992"/>
      <w:bookmarkStart w:id="773" w:name="_Toc492905320"/>
      <w:r>
        <w:rPr>
          <w:rFonts w:hint="eastAsia" w:ascii="仿宋_GB2312" w:hAnsi="仿宋_GB2312" w:eastAsia="仿宋_GB2312" w:cs="仿宋_GB2312"/>
          <w:b/>
          <w:sz w:val="28"/>
          <w:szCs w:val="28"/>
          <w:highlight w:val="none"/>
          <w:lang w:val="en-US" w:eastAsia="zh-CN"/>
        </w:rPr>
        <w:t>29.5 承包人索赔情形</w:t>
      </w:r>
      <w:bookmarkEnd w:id="772"/>
      <w:bookmarkEnd w:id="773"/>
    </w:p>
    <w:p w14:paraId="119F7AF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(7)承包人可向发包人提出索赔的其他情形：</w:t>
      </w:r>
      <w:r>
        <w:rPr>
          <w:rFonts w:hint="eastAsia" w:ascii="仿宋_GB2312" w:hAnsi="仿宋_GB2312" w:eastAsia="仿宋_GB2312" w:cs="仿宋_GB2312"/>
          <w:bCs/>
          <w:snapToGrid w:val="0"/>
          <w:kern w:val="0"/>
          <w:sz w:val="28"/>
          <w:szCs w:val="28"/>
          <w:highlight w:val="none"/>
          <w:u w:val="single"/>
        </w:rPr>
        <w:t xml:space="preserve">                     </w:t>
      </w:r>
    </w:p>
    <w:p w14:paraId="2E5E0F64">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774" w:name="_Toc21300"/>
      <w:bookmarkStart w:id="775" w:name="_Toc492905321"/>
      <w:r>
        <w:rPr>
          <w:rFonts w:hint="eastAsia" w:ascii="仿宋_GB2312" w:hAnsi="仿宋_GB2312" w:eastAsia="仿宋_GB2312" w:cs="仿宋_GB2312"/>
          <w:b/>
          <w:bCs w:val="0"/>
          <w:snapToGrid w:val="0"/>
          <w:kern w:val="0"/>
          <w:sz w:val="28"/>
          <w:szCs w:val="28"/>
          <w:highlight w:val="none"/>
        </w:rPr>
        <w:t>30 争议</w:t>
      </w:r>
      <w:bookmarkEnd w:id="767"/>
      <w:bookmarkEnd w:id="768"/>
      <w:r>
        <w:rPr>
          <w:rFonts w:hint="eastAsia" w:ascii="仿宋_GB2312" w:hAnsi="仿宋_GB2312" w:eastAsia="仿宋_GB2312" w:cs="仿宋_GB2312"/>
          <w:b/>
          <w:bCs w:val="0"/>
          <w:snapToGrid w:val="0"/>
          <w:kern w:val="0"/>
          <w:sz w:val="28"/>
          <w:szCs w:val="28"/>
          <w:highlight w:val="none"/>
        </w:rPr>
        <w:t>解决</w:t>
      </w:r>
      <w:bookmarkEnd w:id="769"/>
      <w:bookmarkEnd w:id="774"/>
      <w:bookmarkEnd w:id="775"/>
    </w:p>
    <w:p w14:paraId="5697151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76" w:name="_Toc302636050"/>
      <w:bookmarkStart w:id="777" w:name="_Toc492905322"/>
      <w:bookmarkStart w:id="778" w:name="_Toc18358"/>
      <w:bookmarkStart w:id="779" w:name="_Toc305331524"/>
      <w:r>
        <w:rPr>
          <w:rFonts w:hint="eastAsia" w:ascii="仿宋_GB2312" w:hAnsi="仿宋_GB2312" w:eastAsia="仿宋_GB2312" w:cs="仿宋_GB2312"/>
          <w:b/>
          <w:sz w:val="28"/>
          <w:szCs w:val="28"/>
          <w:highlight w:val="none"/>
          <w:lang w:val="en-US" w:eastAsia="zh-CN"/>
        </w:rPr>
        <w:t>30.1 争议的解决方式</w:t>
      </w:r>
      <w:bookmarkEnd w:id="776"/>
      <w:bookmarkEnd w:id="777"/>
      <w:bookmarkEnd w:id="778"/>
      <w:bookmarkEnd w:id="779"/>
    </w:p>
    <w:p w14:paraId="5DB3ED3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(1)发包人与承包人共同指定的调解机构为：</w:t>
      </w:r>
      <w:r>
        <w:rPr>
          <w:rFonts w:hint="eastAsia" w:ascii="仿宋_GB2312" w:hAnsi="仿宋_GB2312" w:eastAsia="仿宋_GB2312" w:cs="仿宋_GB2312"/>
          <w:bCs/>
          <w:snapToGrid w:val="0"/>
          <w:kern w:val="0"/>
          <w:sz w:val="28"/>
          <w:szCs w:val="28"/>
          <w:highlight w:val="none"/>
          <w:u w:val="single"/>
        </w:rPr>
        <w:t xml:space="preserve">                     </w:t>
      </w:r>
    </w:p>
    <w:p w14:paraId="4022DC6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(2)发包人或承包人一方不愿调解或调解不成的，应采用下列方式之一解决争议(注：只能选择一种方式，在选定的方式前的“□”内打“</w:t>
      </w:r>
      <w:r>
        <w:rPr>
          <w:rFonts w:hint="eastAsia" w:ascii="仿宋_GB2312" w:hAnsi="仿宋_GB2312" w:eastAsia="仿宋_GB2312" w:cs="仿宋_GB2312"/>
          <w:bCs/>
          <w:snapToGrid w:val="0"/>
          <w:kern w:val="0"/>
          <w:sz w:val="28"/>
          <w:szCs w:val="28"/>
          <w:highlight w:val="none"/>
        </w:rPr>
        <w:sym w:font="Symbol" w:char="F0D6"/>
      </w:r>
      <w:r>
        <w:rPr>
          <w:rFonts w:hint="eastAsia" w:ascii="仿宋_GB2312" w:hAnsi="仿宋_GB2312" w:eastAsia="仿宋_GB2312" w:cs="仿宋_GB2312"/>
          <w:bCs/>
          <w:snapToGrid w:val="0"/>
          <w:kern w:val="0"/>
          <w:sz w:val="28"/>
          <w:szCs w:val="28"/>
          <w:highlight w:val="none"/>
        </w:rPr>
        <w:t>”)：</w:t>
      </w:r>
    </w:p>
    <w:p w14:paraId="53CE118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提交深圳国际仲裁院仲裁；</w:t>
      </w:r>
    </w:p>
    <w:p w14:paraId="146E038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向有管辖权的人民法院提起诉讼。</w:t>
      </w:r>
    </w:p>
    <w:p w14:paraId="40E5526B">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780" w:name="_Toc492905323"/>
      <w:bookmarkStart w:id="781" w:name="_Toc24030"/>
      <w:bookmarkStart w:id="782" w:name="_Toc35656553"/>
      <w:bookmarkStart w:id="783" w:name="_Toc302636051"/>
      <w:bookmarkStart w:id="784" w:name="_Toc305331525"/>
      <w:r>
        <w:rPr>
          <w:rFonts w:hint="eastAsia" w:ascii="仿宋_GB2312" w:hAnsi="仿宋_GB2312" w:eastAsia="仿宋_GB2312" w:cs="仿宋_GB2312"/>
          <w:b/>
          <w:bCs w:val="0"/>
          <w:snapToGrid w:val="0"/>
          <w:kern w:val="0"/>
          <w:sz w:val="28"/>
          <w:szCs w:val="28"/>
          <w:highlight w:val="none"/>
        </w:rPr>
        <w:t>31 工程质量缺陷保修</w:t>
      </w:r>
      <w:bookmarkEnd w:id="780"/>
      <w:bookmarkEnd w:id="781"/>
    </w:p>
    <w:p w14:paraId="6F8AFCA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85" w:name="_Toc717"/>
      <w:bookmarkStart w:id="786" w:name="_Toc492905324"/>
      <w:r>
        <w:rPr>
          <w:rFonts w:hint="eastAsia" w:ascii="仿宋_GB2312" w:hAnsi="仿宋_GB2312" w:eastAsia="仿宋_GB2312" w:cs="仿宋_GB2312"/>
          <w:b/>
          <w:sz w:val="28"/>
          <w:szCs w:val="28"/>
          <w:highlight w:val="none"/>
          <w:lang w:val="en-US" w:eastAsia="zh-CN"/>
        </w:rPr>
        <w:t>31.2 缺陷责任期</w:t>
      </w:r>
      <w:bookmarkEnd w:id="785"/>
      <w:bookmarkEnd w:id="786"/>
    </w:p>
    <w:p w14:paraId="7897C4C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(1)本工程缺陷责任期期限为：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6BC9139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(4)承包人向发包人发出缺陷责任期届满通知的时间：</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02AD2119">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87" w:name="_Toc492905325"/>
      <w:bookmarkStart w:id="788" w:name="_Toc22141"/>
      <w:r>
        <w:rPr>
          <w:rFonts w:hint="eastAsia" w:ascii="仿宋_GB2312" w:hAnsi="仿宋_GB2312" w:eastAsia="仿宋_GB2312" w:cs="仿宋_GB2312"/>
          <w:b/>
          <w:sz w:val="28"/>
          <w:szCs w:val="28"/>
          <w:highlight w:val="none"/>
          <w:lang w:val="en-US" w:eastAsia="zh-CN"/>
        </w:rPr>
        <w:t>31.3 质量保证金</w:t>
      </w:r>
      <w:bookmarkEnd w:id="787"/>
      <w:bookmarkEnd w:id="788"/>
    </w:p>
    <w:p w14:paraId="57DB95ED">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(1)本工程扣留质量保证金的约定：</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4806F72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(2)质量保证金的提供方式为：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04D867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(3)质量保证金的扣留方式为：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06AA4081">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89" w:name="_Toc492905326"/>
      <w:bookmarkStart w:id="790" w:name="_Toc27109"/>
      <w:r>
        <w:rPr>
          <w:rFonts w:hint="eastAsia" w:ascii="仿宋_GB2312" w:hAnsi="仿宋_GB2312" w:eastAsia="仿宋_GB2312" w:cs="仿宋_GB2312"/>
          <w:b/>
          <w:sz w:val="28"/>
          <w:szCs w:val="28"/>
          <w:highlight w:val="none"/>
          <w:lang w:val="en-US" w:eastAsia="zh-CN"/>
        </w:rPr>
        <w:t>31.4 保修责任</w:t>
      </w:r>
      <w:bookmarkEnd w:id="789"/>
      <w:bookmarkEnd w:id="790"/>
    </w:p>
    <w:p w14:paraId="68AAFA1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本工程分部分项工程保修期为：</w:t>
      </w:r>
      <w:r>
        <w:rPr>
          <w:rFonts w:hint="eastAsia" w:ascii="仿宋_GB2312" w:hAnsi="仿宋_GB2312" w:eastAsia="仿宋_GB2312" w:cs="仿宋_GB2312"/>
          <w:bCs/>
          <w:snapToGrid w:val="0"/>
          <w:kern w:val="0"/>
          <w:sz w:val="28"/>
          <w:szCs w:val="28"/>
          <w:highlight w:val="none"/>
          <w:u w:val="single"/>
        </w:rPr>
        <w:t xml:space="preserve">                                </w:t>
      </w:r>
    </w:p>
    <w:p w14:paraId="78CB399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3866870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6CD94FEA">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91" w:name="_Toc17010"/>
      <w:bookmarkStart w:id="792" w:name="_Toc492905327"/>
      <w:r>
        <w:rPr>
          <w:rFonts w:hint="eastAsia" w:ascii="仿宋_GB2312" w:hAnsi="仿宋_GB2312" w:eastAsia="仿宋_GB2312" w:cs="仿宋_GB2312"/>
          <w:b/>
          <w:sz w:val="28"/>
          <w:szCs w:val="28"/>
          <w:highlight w:val="none"/>
          <w:lang w:val="en-US" w:eastAsia="zh-CN"/>
        </w:rPr>
        <w:t>31.6 修复通知</w:t>
      </w:r>
      <w:bookmarkEnd w:id="791"/>
      <w:bookmarkEnd w:id="792"/>
    </w:p>
    <w:p w14:paraId="595D3A3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承包人收到保修通知并到达工程现场的合理时间为：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w:t>
      </w:r>
    </w:p>
    <w:p w14:paraId="2FB62417">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793" w:name="_Toc1523"/>
      <w:bookmarkStart w:id="794" w:name="_Toc492905328"/>
      <w:r>
        <w:rPr>
          <w:rFonts w:hint="eastAsia" w:ascii="仿宋_GB2312" w:hAnsi="仿宋_GB2312" w:eastAsia="仿宋_GB2312" w:cs="仿宋_GB2312"/>
          <w:b/>
          <w:bCs w:val="0"/>
          <w:snapToGrid w:val="0"/>
          <w:kern w:val="0"/>
          <w:sz w:val="28"/>
          <w:szCs w:val="28"/>
          <w:highlight w:val="none"/>
        </w:rPr>
        <w:t>32 不可抗力</w:t>
      </w:r>
      <w:bookmarkEnd w:id="782"/>
      <w:bookmarkEnd w:id="783"/>
      <w:bookmarkEnd w:id="784"/>
      <w:bookmarkEnd w:id="793"/>
      <w:bookmarkEnd w:id="794"/>
    </w:p>
    <w:p w14:paraId="1600F804">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795" w:name="_Toc492905329"/>
      <w:bookmarkStart w:id="796" w:name="_Toc302636052"/>
      <w:bookmarkStart w:id="797" w:name="_Toc305331526"/>
      <w:bookmarkStart w:id="798" w:name="_Toc935"/>
      <w:r>
        <w:rPr>
          <w:rFonts w:hint="eastAsia" w:ascii="仿宋_GB2312" w:hAnsi="仿宋_GB2312" w:eastAsia="仿宋_GB2312" w:cs="仿宋_GB2312"/>
          <w:b/>
          <w:sz w:val="28"/>
          <w:szCs w:val="28"/>
          <w:highlight w:val="none"/>
          <w:lang w:val="en-US" w:eastAsia="zh-CN"/>
        </w:rPr>
        <w:t>32.1 不可抗力包括范围</w:t>
      </w:r>
      <w:bookmarkEnd w:id="795"/>
      <w:bookmarkEnd w:id="796"/>
      <w:bookmarkEnd w:id="797"/>
      <w:bookmarkEnd w:id="798"/>
    </w:p>
    <w:p w14:paraId="0634E0B2">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发包人与承包人约定的其他不可抗力：</w:t>
      </w:r>
    </w:p>
    <w:p w14:paraId="60C9F53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(1)平均风力</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级以上的大风(一般为8级)；</w:t>
      </w:r>
    </w:p>
    <w:p w14:paraId="215873A7">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(2)3个小时内降雨量为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以上的暴雨(一般为50mm)；</w:t>
      </w:r>
    </w:p>
    <w:p w14:paraId="0FA9596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(3)</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摄氏度以上的高温天气(一般为37摄氏度)；</w:t>
      </w:r>
    </w:p>
    <w:p w14:paraId="4B4FC04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(4)其它：</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w:t>
      </w:r>
    </w:p>
    <w:p w14:paraId="4A1306C7">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799" w:name="_Toc305331527"/>
      <w:bookmarkStart w:id="800" w:name="_Toc492905330"/>
      <w:bookmarkStart w:id="801" w:name="_Toc35656556"/>
      <w:bookmarkStart w:id="802" w:name="_Toc302636053"/>
      <w:bookmarkStart w:id="803" w:name="_Toc25301"/>
      <w:r>
        <w:rPr>
          <w:rFonts w:hint="eastAsia" w:ascii="仿宋_GB2312" w:hAnsi="仿宋_GB2312" w:eastAsia="仿宋_GB2312" w:cs="仿宋_GB2312"/>
          <w:b/>
          <w:bCs w:val="0"/>
          <w:snapToGrid w:val="0"/>
          <w:kern w:val="0"/>
          <w:sz w:val="28"/>
          <w:szCs w:val="28"/>
          <w:highlight w:val="none"/>
        </w:rPr>
        <w:t>33 工程保险</w:t>
      </w:r>
      <w:bookmarkEnd w:id="799"/>
      <w:bookmarkEnd w:id="800"/>
      <w:bookmarkEnd w:id="801"/>
      <w:bookmarkEnd w:id="802"/>
      <w:bookmarkEnd w:id="803"/>
    </w:p>
    <w:p w14:paraId="6B886A18">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804" w:name="_Toc492905331"/>
      <w:bookmarkStart w:id="805" w:name="_Toc305331528"/>
      <w:bookmarkStart w:id="806" w:name="_Toc27036"/>
      <w:bookmarkStart w:id="807" w:name="_Toc302636054"/>
      <w:r>
        <w:rPr>
          <w:rFonts w:hint="eastAsia" w:ascii="仿宋_GB2312" w:hAnsi="仿宋_GB2312" w:eastAsia="仿宋_GB2312" w:cs="仿宋_GB2312"/>
          <w:b/>
          <w:sz w:val="28"/>
          <w:szCs w:val="28"/>
          <w:highlight w:val="none"/>
          <w:lang w:val="en-US" w:eastAsia="zh-CN"/>
        </w:rPr>
        <w:t>33.1 发包人办理的保险</w:t>
      </w:r>
      <w:bookmarkEnd w:id="804"/>
      <w:bookmarkEnd w:id="805"/>
      <w:bookmarkEnd w:id="806"/>
      <w:bookmarkEnd w:id="807"/>
    </w:p>
    <w:p w14:paraId="0B9A1C39">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t>发包人委托承包人办理的保险事项的约定：</w:t>
      </w:r>
      <w:r>
        <w:rPr>
          <w:rFonts w:hint="eastAsia" w:ascii="仿宋_GB2312" w:hAnsi="仿宋_GB2312" w:eastAsia="仿宋_GB2312" w:cs="仿宋_GB2312"/>
          <w:bCs/>
          <w:snapToGrid w:val="0"/>
          <w:kern w:val="0"/>
          <w:sz w:val="28"/>
          <w:szCs w:val="28"/>
          <w:highlight w:val="none"/>
          <w:u w:val="single"/>
        </w:rPr>
        <w:t xml:space="preserve">                      </w:t>
      </w:r>
    </w:p>
    <w:p w14:paraId="085E7071">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6F02CC63">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u w:val="single"/>
        </w:rPr>
        <w:t xml:space="preserve">                                                               </w:t>
      </w:r>
    </w:p>
    <w:p w14:paraId="4ECC7F18">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本工程发包人委托承包人办理的保险事项：</w:t>
      </w:r>
    </w:p>
    <w:p w14:paraId="343D1BDF">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建筑工程一切险；</w:t>
      </w:r>
    </w:p>
    <w:p w14:paraId="6692D8A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该项保险保险费：</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已包含在投标报价(签约合同价)中，结算时不予调整；</w:t>
      </w:r>
    </w:p>
    <w:p w14:paraId="1DE5568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未包含在投标报价(签约合同价)中，由发包人另行支付；</w:t>
      </w:r>
    </w:p>
    <w:p w14:paraId="1211BA44">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安装工程一切险；</w:t>
      </w:r>
    </w:p>
    <w:p w14:paraId="4B73B9D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该项保险保险费：</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已包含在投标报价中(签约合同价)，结算时不予调整；</w:t>
      </w:r>
    </w:p>
    <w:p w14:paraId="3B90258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未包含在投标报价中(签约合同价)，由发包人另行支付；</w:t>
      </w:r>
    </w:p>
    <w:p w14:paraId="759496B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 xml:space="preserve">    </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第三者责任险；</w:t>
      </w:r>
    </w:p>
    <w:p w14:paraId="48F7FFA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该项保险保险费：</w:t>
      </w: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已包含在投标报价中(签约合同价)，结算时不予调整；</w:t>
      </w:r>
    </w:p>
    <w:p w14:paraId="1EFED2E6">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未包含在投标报价中(签约合同价)，由发包人另行支付；</w:t>
      </w:r>
    </w:p>
    <w:p w14:paraId="6F2B1254">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bCs/>
          <w:snapToGrid w:val="0"/>
          <w:kern w:val="0"/>
          <w:sz w:val="28"/>
          <w:szCs w:val="28"/>
          <w:highlight w:val="none"/>
          <w:u w:val="single"/>
        </w:rPr>
      </w:pPr>
      <w:r>
        <w:rPr>
          <w:rFonts w:hint="eastAsia" w:ascii="仿宋_GB2312" w:hAnsi="仿宋_GB2312" w:eastAsia="仿宋_GB2312" w:cs="仿宋_GB2312"/>
          <w:bCs/>
          <w:snapToGrid w:val="0"/>
          <w:kern w:val="0"/>
          <w:sz w:val="28"/>
          <w:szCs w:val="28"/>
          <w:highlight w:val="none"/>
        </w:rPr>
        <w:drawing>
          <wp:inline distT="0" distB="0" distL="0" distR="0">
            <wp:extent cx="154940" cy="140970"/>
            <wp:effectExtent l="0" t="0" r="1651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 cy="140970"/>
                    </a:xfrm>
                    <a:prstGeom prst="rect">
                      <a:avLst/>
                    </a:prstGeom>
                    <a:noFill/>
                    <a:ln>
                      <a:noFill/>
                    </a:ln>
                  </pic:spPr>
                </pic:pic>
              </a:graphicData>
            </a:graphic>
          </wp:inline>
        </w:drawing>
      </w:r>
      <w:r>
        <w:rPr>
          <w:rFonts w:hint="eastAsia" w:ascii="仿宋_GB2312" w:hAnsi="仿宋_GB2312" w:eastAsia="仿宋_GB2312" w:cs="仿宋_GB2312"/>
          <w:bCs/>
          <w:snapToGrid w:val="0"/>
          <w:kern w:val="0"/>
          <w:sz w:val="28"/>
          <w:szCs w:val="28"/>
          <w:highlight w:val="none"/>
        </w:rPr>
        <w:t xml:space="preserve">其他： </w:t>
      </w:r>
      <w:r>
        <w:rPr>
          <w:rFonts w:hint="eastAsia" w:ascii="仿宋_GB2312" w:hAnsi="仿宋_GB2312" w:eastAsia="仿宋_GB2312" w:cs="仿宋_GB2312"/>
          <w:bCs/>
          <w:snapToGrid w:val="0"/>
          <w:kern w:val="0"/>
          <w:sz w:val="28"/>
          <w:szCs w:val="28"/>
          <w:highlight w:val="none"/>
          <w:u w:val="single"/>
        </w:rPr>
        <w:t xml:space="preserve">                                                   </w:t>
      </w:r>
    </w:p>
    <w:p w14:paraId="3949B258">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808" w:name="_Toc8382"/>
      <w:bookmarkStart w:id="809" w:name="_Toc302636055"/>
      <w:bookmarkStart w:id="810" w:name="_Toc305331529"/>
      <w:bookmarkStart w:id="811" w:name="_Toc35656557"/>
      <w:bookmarkStart w:id="812" w:name="_Toc492905332"/>
      <w:r>
        <w:rPr>
          <w:rFonts w:hint="eastAsia" w:ascii="仿宋_GB2312" w:hAnsi="仿宋_GB2312" w:eastAsia="仿宋_GB2312" w:cs="仿宋_GB2312"/>
          <w:b/>
          <w:bCs w:val="0"/>
          <w:snapToGrid w:val="0"/>
          <w:kern w:val="0"/>
          <w:sz w:val="28"/>
          <w:szCs w:val="28"/>
          <w:highlight w:val="none"/>
        </w:rPr>
        <w:t>34 工程担保</w:t>
      </w:r>
      <w:bookmarkEnd w:id="808"/>
      <w:bookmarkEnd w:id="809"/>
      <w:bookmarkEnd w:id="810"/>
      <w:bookmarkEnd w:id="811"/>
      <w:bookmarkEnd w:id="812"/>
    </w:p>
    <w:p w14:paraId="4D85E7A7">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813" w:name="_Toc302636056"/>
      <w:bookmarkStart w:id="814" w:name="_Toc492905333"/>
      <w:bookmarkStart w:id="815" w:name="_Toc12199"/>
      <w:bookmarkStart w:id="816" w:name="_Toc305331530"/>
      <w:r>
        <w:rPr>
          <w:rFonts w:hint="eastAsia" w:ascii="仿宋_GB2312" w:hAnsi="仿宋_GB2312" w:eastAsia="仿宋_GB2312" w:cs="仿宋_GB2312"/>
          <w:b/>
          <w:sz w:val="28"/>
          <w:szCs w:val="28"/>
          <w:highlight w:val="none"/>
          <w:lang w:val="en-US" w:eastAsia="zh-CN"/>
        </w:rPr>
        <w:t>34.1 履约担保</w:t>
      </w:r>
      <w:bookmarkEnd w:id="813"/>
      <w:bookmarkEnd w:id="814"/>
      <w:bookmarkEnd w:id="815"/>
      <w:bookmarkEnd w:id="816"/>
      <w:r>
        <w:rPr>
          <w:rFonts w:hint="eastAsia" w:ascii="仿宋_GB2312" w:hAnsi="仿宋_GB2312" w:eastAsia="仿宋_GB2312" w:cs="仿宋_GB2312"/>
          <w:b/>
          <w:sz w:val="28"/>
          <w:szCs w:val="28"/>
          <w:highlight w:val="none"/>
          <w:lang w:val="en-US" w:eastAsia="zh-CN"/>
        </w:rPr>
        <w:t xml:space="preserve"> </w:t>
      </w:r>
    </w:p>
    <w:p w14:paraId="152BE856">
      <w:pPr>
        <w:pageBreakBefore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(1)本工程履约担保应采用</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的形式，金额为：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（提示：不超过合同总价的10%） </w:t>
      </w:r>
    </w:p>
    <w:p w14:paraId="36EF4B01">
      <w:pPr>
        <w:pageBreakBefore w:val="0"/>
        <w:kinsoku/>
        <w:overflowPunct/>
        <w:topLinePunct w:val="0"/>
        <w:autoSpaceDE/>
        <w:autoSpaceDN/>
        <w:bidi w:val="0"/>
        <w:adjustRightInd w:val="0"/>
        <w:snapToGrid w:val="0"/>
        <w:spacing w:line="560" w:lineRule="exact"/>
        <w:ind w:left="0" w:leftChars="0" w:right="0" w:rightChars="0" w:firstLine="200" w:firstLineChars="0"/>
        <w:jc w:val="left"/>
        <w:textAlignment w:val="auto"/>
        <w:outlineLvl w:val="2"/>
        <w:rPr>
          <w:rFonts w:hint="eastAsia" w:ascii="仿宋_GB2312" w:hAnsi="仿宋_GB2312" w:eastAsia="仿宋_GB2312" w:cs="仿宋_GB2312"/>
          <w:b/>
          <w:color w:val="auto"/>
          <w:sz w:val="28"/>
          <w:szCs w:val="28"/>
          <w:highlight w:val="none"/>
        </w:rPr>
      </w:pPr>
      <w:bookmarkStart w:id="817" w:name="_Toc25074"/>
      <w:r>
        <w:rPr>
          <w:rFonts w:hint="eastAsia" w:ascii="仿宋_GB2312" w:hAnsi="仿宋_GB2312" w:eastAsia="仿宋_GB2312" w:cs="仿宋_GB2312"/>
          <w:b/>
          <w:color w:val="auto"/>
          <w:sz w:val="28"/>
          <w:szCs w:val="28"/>
          <w:highlight w:val="none"/>
        </w:rPr>
        <w:t>34.2支付担保</w:t>
      </w:r>
      <w:bookmarkEnd w:id="817"/>
    </w:p>
    <w:p w14:paraId="06565D55">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default" w:ascii="仿宋_GB2312" w:hAnsi="仿宋_GB2312" w:eastAsia="仿宋_GB2312" w:cs="仿宋_GB2312"/>
          <w:bCs/>
          <w:snapToGrid w:val="0"/>
          <w:kern w:val="0"/>
          <w:sz w:val="28"/>
          <w:szCs w:val="28"/>
          <w:highlight w:val="none"/>
          <w:lang w:val="en-US"/>
        </w:rPr>
        <w:t>(1)</w:t>
      </w:r>
      <w:r>
        <w:rPr>
          <w:rFonts w:hint="eastAsia" w:ascii="仿宋_GB2312" w:hAnsi="仿宋_GB2312" w:eastAsia="仿宋_GB2312" w:cs="仿宋_GB2312"/>
          <w:bCs/>
          <w:snapToGrid w:val="0"/>
          <w:kern w:val="0"/>
          <w:sz w:val="28"/>
          <w:szCs w:val="28"/>
          <w:highlight w:val="none"/>
        </w:rPr>
        <w:t>本工程支付担保应采用</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的形式，金额为：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u w:val="none"/>
          <w:lang w:eastAsia="zh-CN"/>
        </w:rPr>
        <w:t>。</w:t>
      </w:r>
      <w:r>
        <w:rPr>
          <w:rFonts w:hint="eastAsia" w:ascii="仿宋_GB2312" w:hAnsi="仿宋_GB2312" w:eastAsia="仿宋_GB2312" w:cs="仿宋_GB2312"/>
          <w:bCs/>
          <w:snapToGrid w:val="0"/>
          <w:kern w:val="0"/>
          <w:sz w:val="28"/>
          <w:szCs w:val="28"/>
          <w:highlight w:val="none"/>
        </w:rPr>
        <w:t xml:space="preserve">                                                      </w:t>
      </w:r>
    </w:p>
    <w:p w14:paraId="3FDE7B8E">
      <w:pPr>
        <w:pageBreakBefore w:val="0"/>
        <w:widowControl/>
        <w:tabs>
          <w:tab w:val="left" w:pos="1620"/>
          <w:tab w:val="left" w:pos="2340"/>
        </w:tabs>
        <w:kinsoku/>
        <w:overflowPunct/>
        <w:topLinePunct w:val="0"/>
        <w:autoSpaceDE/>
        <w:autoSpaceDN/>
        <w:bidi w:val="0"/>
        <w:adjustRightInd w:val="0"/>
        <w:snapToGrid w:val="0"/>
        <w:spacing w:line="560" w:lineRule="exact"/>
        <w:ind w:left="0" w:leftChars="0" w:right="0" w:rightChars="0"/>
        <w:jc w:val="left"/>
        <w:textAlignment w:val="auto"/>
        <w:outlineLvl w:val="1"/>
        <w:rPr>
          <w:rFonts w:hint="eastAsia" w:ascii="仿宋_GB2312" w:hAnsi="仿宋_GB2312" w:eastAsia="仿宋_GB2312" w:cs="仿宋_GB2312"/>
          <w:b/>
          <w:bCs w:val="0"/>
          <w:snapToGrid w:val="0"/>
          <w:kern w:val="0"/>
          <w:sz w:val="28"/>
          <w:szCs w:val="28"/>
          <w:highlight w:val="none"/>
        </w:rPr>
      </w:pPr>
      <w:bookmarkStart w:id="818" w:name="_Toc35656559"/>
      <w:bookmarkStart w:id="819" w:name="_Toc31279"/>
      <w:bookmarkStart w:id="820" w:name="_Toc305331532"/>
      <w:bookmarkStart w:id="821" w:name="_Toc302636058"/>
      <w:bookmarkStart w:id="822" w:name="_Toc492905335"/>
      <w:r>
        <w:rPr>
          <w:rFonts w:hint="eastAsia" w:ascii="仿宋_GB2312" w:hAnsi="仿宋_GB2312" w:eastAsia="仿宋_GB2312" w:cs="仿宋_GB2312"/>
          <w:b/>
          <w:bCs w:val="0"/>
          <w:snapToGrid w:val="0"/>
          <w:kern w:val="0"/>
          <w:sz w:val="28"/>
          <w:szCs w:val="28"/>
          <w:highlight w:val="none"/>
        </w:rPr>
        <w:t>36 合同份数</w:t>
      </w:r>
      <w:bookmarkEnd w:id="818"/>
      <w:r>
        <w:rPr>
          <w:rFonts w:hint="eastAsia" w:ascii="仿宋_GB2312" w:hAnsi="仿宋_GB2312" w:eastAsia="仿宋_GB2312" w:cs="仿宋_GB2312"/>
          <w:b/>
          <w:bCs w:val="0"/>
          <w:snapToGrid w:val="0"/>
          <w:kern w:val="0"/>
          <w:sz w:val="28"/>
          <w:szCs w:val="28"/>
          <w:highlight w:val="none"/>
        </w:rPr>
        <w:t>与合同备案</w:t>
      </w:r>
      <w:bookmarkEnd w:id="819"/>
      <w:bookmarkEnd w:id="820"/>
      <w:bookmarkEnd w:id="821"/>
      <w:bookmarkEnd w:id="822"/>
    </w:p>
    <w:p w14:paraId="094C372B">
      <w:pPr>
        <w:pageBreakBefore w:val="0"/>
        <w:kinsoku/>
        <w:overflowPunct/>
        <w:topLinePunct w:val="0"/>
        <w:autoSpaceDE/>
        <w:autoSpaceDN/>
        <w:bidi w:val="0"/>
        <w:adjustRightInd w:val="0"/>
        <w:snapToGrid w:val="0"/>
        <w:spacing w:line="560" w:lineRule="exact"/>
        <w:ind w:left="0" w:leftChars="0" w:right="0" w:rightChars="0" w:firstLine="200"/>
        <w:textAlignment w:val="auto"/>
        <w:outlineLvl w:val="2"/>
        <w:rPr>
          <w:rFonts w:hint="eastAsia" w:ascii="仿宋_GB2312" w:hAnsi="仿宋_GB2312" w:eastAsia="仿宋_GB2312" w:cs="仿宋_GB2312"/>
          <w:b/>
          <w:sz w:val="28"/>
          <w:szCs w:val="28"/>
          <w:highlight w:val="none"/>
          <w:lang w:val="en-US" w:eastAsia="zh-CN"/>
        </w:rPr>
      </w:pPr>
      <w:bookmarkStart w:id="823" w:name="_Toc492905336"/>
      <w:bookmarkStart w:id="824" w:name="_Toc32648"/>
      <w:bookmarkStart w:id="825" w:name="_Toc305331533"/>
      <w:bookmarkStart w:id="826" w:name="_Toc302636059"/>
      <w:r>
        <w:rPr>
          <w:rFonts w:hint="eastAsia" w:ascii="仿宋_GB2312" w:hAnsi="仿宋_GB2312" w:eastAsia="仿宋_GB2312" w:cs="仿宋_GB2312"/>
          <w:b/>
          <w:sz w:val="28"/>
          <w:szCs w:val="28"/>
          <w:highlight w:val="none"/>
          <w:lang w:val="en-US" w:eastAsia="zh-CN"/>
        </w:rPr>
        <w:t>36.1 合同份数</w:t>
      </w:r>
      <w:bookmarkEnd w:id="823"/>
      <w:bookmarkEnd w:id="824"/>
      <w:bookmarkEnd w:id="825"/>
      <w:bookmarkEnd w:id="826"/>
    </w:p>
    <w:p w14:paraId="61A888EE">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bCs/>
          <w:snapToGrid w:val="0"/>
          <w:kern w:val="0"/>
          <w:sz w:val="28"/>
          <w:szCs w:val="28"/>
          <w:highlight w:val="none"/>
        </w:rPr>
      </w:pPr>
      <w:r>
        <w:rPr>
          <w:rFonts w:hint="eastAsia" w:ascii="仿宋_GB2312" w:hAnsi="仿宋_GB2312" w:eastAsia="仿宋_GB2312" w:cs="仿宋_GB2312"/>
          <w:bCs/>
          <w:snapToGrid w:val="0"/>
          <w:kern w:val="0"/>
          <w:sz w:val="28"/>
          <w:szCs w:val="28"/>
          <w:highlight w:val="none"/>
        </w:rPr>
        <w:t>(2)合同副本份数：</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份，其中发包人：</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份，承包人： </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份。</w:t>
      </w:r>
    </w:p>
    <w:p w14:paraId="256A2EC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bCs/>
          <w:snapToGrid w:val="0"/>
          <w:kern w:val="0"/>
          <w:sz w:val="28"/>
          <w:szCs w:val="28"/>
          <w:highlight w:val="none"/>
        </w:rPr>
        <w:t>合同副本其它保存单位及份数：</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保存</w:t>
      </w:r>
      <w:r>
        <w:rPr>
          <w:rFonts w:hint="eastAsia" w:ascii="仿宋_GB2312" w:hAnsi="仿宋_GB2312" w:eastAsia="仿宋_GB2312" w:cs="仿宋_GB2312"/>
          <w:bCs/>
          <w:snapToGrid w:val="0"/>
          <w:kern w:val="0"/>
          <w:sz w:val="28"/>
          <w:szCs w:val="28"/>
          <w:highlight w:val="none"/>
          <w:u w:val="single"/>
        </w:rPr>
        <w:t xml:space="preserve">   </w:t>
      </w:r>
      <w:r>
        <w:rPr>
          <w:rFonts w:hint="eastAsia" w:ascii="仿宋_GB2312" w:hAnsi="仿宋_GB2312" w:eastAsia="仿宋_GB2312" w:cs="仿宋_GB2312"/>
          <w:bCs/>
          <w:snapToGrid w:val="0"/>
          <w:kern w:val="0"/>
          <w:sz w:val="28"/>
          <w:szCs w:val="28"/>
          <w:highlight w:val="none"/>
        </w:rPr>
        <w:t xml:space="preserve">   份。</w:t>
      </w:r>
      <w:r>
        <w:rPr>
          <w:rFonts w:hint="eastAsia" w:ascii="仿宋_GB2312" w:hAnsi="仿宋_GB2312" w:eastAsia="仿宋_GB2312" w:cs="仿宋_GB2312"/>
          <w:sz w:val="28"/>
          <w:szCs w:val="28"/>
          <w:highlight w:val="none"/>
        </w:rPr>
        <w:br w:type="page"/>
      </w:r>
    </w:p>
    <w:p w14:paraId="1F627330">
      <w:pPr>
        <w:pStyle w:val="3"/>
        <w:keepNext w:val="0"/>
        <w:keepLines w:val="0"/>
        <w:pageBreakBefore w:val="0"/>
        <w:widowControl w:val="0"/>
        <w:kinsoku/>
        <w:overflowPunct/>
        <w:topLinePunct w:val="0"/>
        <w:autoSpaceDE/>
        <w:autoSpaceDN/>
        <w:bidi w:val="0"/>
        <w:adjustRightInd w:val="0"/>
        <w:snapToGrid w:val="0"/>
        <w:spacing w:before="0" w:beforeLines="0" w:after="0" w:afterLines="0" w:line="560" w:lineRule="exact"/>
        <w:ind w:left="0" w:leftChars="0" w:right="0" w:rightChars="0" w:firstLine="880" w:firstLineChars="200"/>
        <w:jc w:val="center"/>
        <w:textAlignment w:val="auto"/>
        <w:rPr>
          <w:rFonts w:ascii="仿宋_GB2312" w:hAnsi="仿宋_GB2312" w:eastAsia="仿宋_GB2312" w:cs="仿宋_GB2312"/>
          <w:b w:val="0"/>
          <w:szCs w:val="28"/>
          <w:highlight w:val="none"/>
        </w:rPr>
      </w:pPr>
      <w:bookmarkStart w:id="827" w:name="_Toc13055"/>
      <w:r>
        <w:rPr>
          <w:rFonts w:hint="eastAsia" w:ascii="仿宋_GB2312" w:hAnsi="仿宋_GB2312" w:eastAsia="仿宋_GB2312" w:cs="仿宋_GB2312"/>
          <w:b w:val="0"/>
          <w:szCs w:val="28"/>
          <w:highlight w:val="none"/>
        </w:rPr>
        <w:t xml:space="preserve">第四部分 </w:t>
      </w:r>
      <w:r>
        <w:rPr>
          <w:rFonts w:ascii="仿宋_GB2312" w:hAnsi="仿宋_GB2312" w:eastAsia="仿宋_GB2312" w:cs="仿宋_GB2312"/>
          <w:b w:val="0"/>
          <w:szCs w:val="28"/>
          <w:highlight w:val="none"/>
        </w:rPr>
        <w:t xml:space="preserve"> </w:t>
      </w:r>
      <w:r>
        <w:rPr>
          <w:rFonts w:hint="eastAsia" w:ascii="仿宋_GB2312" w:hAnsi="仿宋_GB2312" w:eastAsia="仿宋_GB2312" w:cs="仿宋_GB2312"/>
          <w:b w:val="0"/>
          <w:szCs w:val="28"/>
          <w:highlight w:val="none"/>
        </w:rPr>
        <w:t>补充条款</w:t>
      </w:r>
      <w:bookmarkEnd w:id="827"/>
    </w:p>
    <w:p w14:paraId="49C18C02">
      <w:pPr>
        <w:pageBreakBefore w:val="0"/>
        <w:numPr>
          <w:ilvl w:val="-1"/>
          <w:numId w:val="0"/>
        </w:numPr>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napToGrid w:val="0"/>
          <w:sz w:val="28"/>
          <w:szCs w:val="28"/>
          <w:highlight w:val="none"/>
          <w:lang w:val="en-US" w:eastAsia="zh-CN"/>
        </w:rPr>
      </w:pPr>
    </w:p>
    <w:p w14:paraId="4D4F981E">
      <w:pPr>
        <w:keepNext/>
        <w:keepLines/>
        <w:pageBreakBefore w:val="0"/>
        <w:widowControl w:val="0"/>
        <w:numPr>
          <w:ilvl w:val="-1"/>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lang w:eastAsia="zh-CN"/>
        </w:rPr>
      </w:pPr>
    </w:p>
    <w:p w14:paraId="7AFBC1A0">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snapToGrid w:val="0"/>
          <w:sz w:val="28"/>
          <w:szCs w:val="28"/>
          <w:highlight w:val="none"/>
        </w:rPr>
      </w:pPr>
    </w:p>
    <w:p w14:paraId="4D0BCBB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snapToGrid w:val="0"/>
          <w:sz w:val="28"/>
          <w:szCs w:val="28"/>
          <w:highlight w:val="none"/>
        </w:rPr>
      </w:pPr>
    </w:p>
    <w:p w14:paraId="4251ADCB">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snapToGrid w:val="0"/>
          <w:sz w:val="28"/>
          <w:szCs w:val="28"/>
          <w:highlight w:val="none"/>
        </w:rPr>
      </w:pPr>
    </w:p>
    <w:p w14:paraId="245B059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snapToGrid w:val="0"/>
          <w:sz w:val="28"/>
          <w:szCs w:val="28"/>
          <w:highlight w:val="none"/>
        </w:rPr>
      </w:pPr>
    </w:p>
    <w:p w14:paraId="3AC1DB0A">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snapToGrid w:val="0"/>
          <w:sz w:val="28"/>
          <w:szCs w:val="28"/>
          <w:highlight w:val="none"/>
        </w:rPr>
        <w:sectPr>
          <w:footerReference r:id="rId6" w:type="default"/>
          <w:pgSz w:w="11906" w:h="16838"/>
          <w:pgMar w:top="1814" w:right="1474" w:bottom="1814" w:left="1588" w:header="851" w:footer="992" w:gutter="0"/>
          <w:pgNumType w:fmt="decimal"/>
          <w:cols w:space="425" w:num="1"/>
          <w:docGrid w:type="lines" w:linePitch="312" w:charSpace="0"/>
        </w:sectPr>
      </w:pPr>
    </w:p>
    <w:p w14:paraId="10999AD6">
      <w:pPr>
        <w:pStyle w:val="3"/>
        <w:keepNext w:val="0"/>
        <w:keepLines w:val="0"/>
        <w:pageBreakBefore w:val="0"/>
        <w:widowControl w:val="0"/>
        <w:kinsoku/>
        <w:overflowPunct/>
        <w:topLinePunct w:val="0"/>
        <w:autoSpaceDE/>
        <w:autoSpaceDN/>
        <w:bidi w:val="0"/>
        <w:adjustRightInd w:val="0"/>
        <w:snapToGrid w:val="0"/>
        <w:spacing w:before="0" w:beforeLines="0" w:after="0" w:afterLines="0" w:line="560" w:lineRule="exact"/>
        <w:ind w:left="0" w:leftChars="0" w:right="0" w:rightChars="0" w:firstLine="643" w:firstLineChars="200"/>
        <w:textAlignment w:val="auto"/>
        <w:rPr>
          <w:rFonts w:hint="eastAsia" w:ascii="仿宋_GB2312" w:hAnsi="仿宋_GB2312" w:eastAsia="仿宋_GB2312" w:cs="仿宋_GB2312"/>
          <w:bCs/>
          <w:sz w:val="32"/>
          <w:szCs w:val="32"/>
          <w:highlight w:val="none"/>
          <w:lang w:val="en-US" w:eastAsia="zh-CN"/>
        </w:rPr>
      </w:pPr>
      <w:bookmarkStart w:id="828" w:name="_Toc1286"/>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1：</w:t>
      </w:r>
      <w:bookmarkEnd w:id="828"/>
    </w:p>
    <w:p w14:paraId="49DCF709">
      <w:pPr>
        <w:pageBreakBefore w:val="0"/>
        <w:kinsoku/>
        <w:overflowPunct/>
        <w:topLinePunct w:val="0"/>
        <w:autoSpaceDE/>
        <w:autoSpaceDN/>
        <w:bidi w:val="0"/>
        <w:adjustRightInd w:val="0"/>
        <w:snapToGrid w:val="0"/>
        <w:spacing w:line="560" w:lineRule="exact"/>
        <w:ind w:left="0" w:leftChars="0" w:right="0" w:rightChars="0"/>
        <w:contextualSpacing/>
        <w:jc w:val="center"/>
        <w:textAlignment w:val="auto"/>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政府投资建设工程廉洁协议书</w:t>
      </w:r>
    </w:p>
    <w:p w14:paraId="74085C6B">
      <w:pPr>
        <w:pageBreakBefore w:val="0"/>
        <w:kinsoku/>
        <w:overflowPunct/>
        <w:topLinePunct w:val="0"/>
        <w:autoSpaceDE/>
        <w:autoSpaceDN/>
        <w:bidi w:val="0"/>
        <w:adjustRightInd w:val="0"/>
        <w:snapToGrid w:val="0"/>
        <w:spacing w:line="560" w:lineRule="exact"/>
        <w:ind w:left="0" w:leftChars="0" w:right="0" w:rightChars="0"/>
        <w:contextualSpacing/>
        <w:jc w:val="center"/>
        <w:textAlignment w:val="auto"/>
        <w:rPr>
          <w:rFonts w:ascii="仿宋_GB2312" w:hAnsi="仿宋_GB2312" w:eastAsia="仿宋_GB2312" w:cs="仿宋_GB2312"/>
          <w:sz w:val="28"/>
          <w:szCs w:val="28"/>
          <w:highlight w:val="none"/>
        </w:rPr>
      </w:pPr>
    </w:p>
    <w:p w14:paraId="061548F8">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p w14:paraId="75B2AE38">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w:t>
      </w:r>
    </w:p>
    <w:p w14:paraId="283F7B5E">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w:t>
      </w:r>
    </w:p>
    <w:p w14:paraId="536B8AF2">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为加强廉洁建设，规范双方的建设工程活动，防止发生各种谋取不正当利益的违法违纪行为，确保政府投资项目资金的安全和有效使用，根据国家有关规定和廉洁从业的各项要求，双方签订本廉洁协议。</w:t>
      </w:r>
    </w:p>
    <w:p w14:paraId="10DD32F2">
      <w:pPr>
        <w:pStyle w:val="68"/>
        <w:pageBreakBefore w:val="0"/>
        <w:numPr>
          <w:ilvl w:val="0"/>
          <w:numId w:val="9"/>
        </w:numPr>
        <w:kinsoku/>
        <w:overflowPunct/>
        <w:topLinePunct w:val="0"/>
        <w:autoSpaceDE/>
        <w:autoSpaceDN/>
        <w:bidi w:val="0"/>
        <w:adjustRightInd w:val="0"/>
        <w:snapToGrid w:val="0"/>
        <w:spacing w:line="560" w:lineRule="exact"/>
        <w:ind w:left="0" w:leftChars="0" w:right="0" w:rightChars="0" w:firstLineChars="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甲方应尽义务</w:t>
      </w:r>
    </w:p>
    <w:p w14:paraId="7B3120F4">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（一）甲方有责任对本单位工程项目人员进行廉政教育；督促甲方人员严格遵守本单位制度和在工程项目建设中保持廉洁的若干规定，如发现有违反规定的，按照相关规定进行处理。</w:t>
      </w:r>
    </w:p>
    <w:p w14:paraId="354A5700">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（二）甲方工作人员（含家属、子女，下同）不得以任何形式向乙方索要赞助和收受回扣等好处费。</w:t>
      </w:r>
    </w:p>
    <w:p w14:paraId="39F31C4C">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甲方工作人员应当保持与乙方的正常业务交往，不得接受乙方的礼金、有价证券和贵重物品，不得向乙方索要（或接受）通讯工具、交通工具、家电及高档办公用品，不得在乙方报销任何应由单位或个人支付的费用。</w:t>
      </w:r>
    </w:p>
    <w:p w14:paraId="78A43BFC">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（四）甲方工作人员不得参加可能影响公正执行公务的宴请和高消费的娱乐活动。</w:t>
      </w:r>
    </w:p>
    <w:p w14:paraId="092C9897">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（五）甲方工作人员不得要求或者接受乙方为其住房装修、婚丧嫁娶、家属和子女的工作安排，以及出国出境提供方便。</w:t>
      </w:r>
    </w:p>
    <w:p w14:paraId="357D6EC7">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（六）甲方工作人员不得以考察、参观等名义参加乙方安排的国内外旅游活动。</w:t>
      </w:r>
    </w:p>
    <w:p w14:paraId="3A253CB6">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（七）甲方工作人员不得向乙方介绍家属或亲友从事与甲方工程有关的材料设备供应、工程分包等经济活动。</w:t>
      </w:r>
    </w:p>
    <w:p w14:paraId="6B69D63D">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二、乙方应尽义务</w:t>
      </w:r>
    </w:p>
    <w:p w14:paraId="1C738E58">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乙方有责任对本单位工程项目人员进行廉政教育（包括甲方单位制定的有关廉政建设方面的规定）；督促乙方人员严格遵守本单位制度和在工程项目建设中保持廉洁的若干规定，如发现有违反规定的，按照相关规定进行处理。</w:t>
      </w:r>
    </w:p>
    <w:p w14:paraId="0CB927F1">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（二）乙方应当通过正常途径开展相对业务工作，不得为获取某些不正当利益而向甲方工作人员（含家属、子女，下同）赠送礼金、有价证券和贵重物品等。</w:t>
      </w:r>
    </w:p>
    <w:p w14:paraId="05875E3A">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（三）乙方工作人员不得为谋取私利擅自与甲方工作人员就工程承包、工程费用、材料设备供应、工程量变动、工程验收、工程质量问题处理等进行私下商谈或者达成默契。</w:t>
      </w:r>
    </w:p>
    <w:p w14:paraId="44082728">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（四）乙方不得以洽谈业务、签订经济协议等为借ロ，邀请甲方工作人员外出旅游或进入营业性高档娱乐场所</w:t>
      </w:r>
    </w:p>
    <w:p w14:paraId="7A3A82A4">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（五）乙方不得为甲方单位和个人购置或者提供通讯工具、交通工具、家电及高档办公用品等物品。</w:t>
      </w:r>
    </w:p>
    <w:p w14:paraId="1B52FBF5">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三、甲、乙双方工作人员发生违反本协议行为，按照管理权限，依据有关法律法规和规定给予党纪政纪处分等处理；涉嫌犯罪的，移交司法机关追究刑事责任。</w:t>
      </w:r>
    </w:p>
    <w:p w14:paraId="7F6B3FA1">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六、本协议作为工程承发包协议的附件，经协议双方签署后立即生效。</w:t>
      </w:r>
    </w:p>
    <w:p w14:paraId="5D93EC65">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七、本协议一式两份，甲乙双方各执一份。</w:t>
      </w:r>
    </w:p>
    <w:p w14:paraId="13F49F28">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p>
    <w:p w14:paraId="0E88B3E1">
      <w:pPr>
        <w:pageBreakBefore w:val="0"/>
        <w:kinsoku/>
        <w:overflowPunct/>
        <w:topLinePunct w:val="0"/>
        <w:autoSpaceDE/>
        <w:autoSpaceDN/>
        <w:bidi w:val="0"/>
        <w:adjustRightInd w:val="0"/>
        <w:snapToGrid w:val="0"/>
        <w:spacing w:line="560" w:lineRule="exact"/>
        <w:ind w:left="0" w:leftChars="0" w:right="0" w:rightChars="0" w:firstLine="560" w:firstLineChars="200"/>
        <w:contextualSpacing/>
        <w:jc w:val="left"/>
        <w:textAlignment w:val="auto"/>
        <w:rPr>
          <w:rFonts w:ascii="仿宋_GB2312" w:hAnsi="仿宋_GB2312" w:eastAsia="仿宋_GB2312" w:cs="仿宋_GB2312"/>
          <w:sz w:val="28"/>
          <w:szCs w:val="28"/>
          <w:highlight w:val="none"/>
        </w:rPr>
      </w:pPr>
    </w:p>
    <w:p w14:paraId="0A76003F">
      <w:pPr>
        <w:pageBreakBefore w:val="0"/>
        <w:kinsoku/>
        <w:overflowPunct/>
        <w:topLinePunct w:val="0"/>
        <w:autoSpaceDE/>
        <w:autoSpaceDN/>
        <w:bidi w:val="0"/>
        <w:adjustRightInd w:val="0"/>
        <w:snapToGrid w:val="0"/>
        <w:spacing w:line="560" w:lineRule="exact"/>
        <w:ind w:left="0" w:leftChars="0" w:right="0" w:rightChars="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甲方（盖章）：                  乙方（盖章）：</w:t>
      </w:r>
    </w:p>
    <w:p w14:paraId="50E5CA24">
      <w:pPr>
        <w:pageBreakBefore w:val="0"/>
        <w:kinsoku/>
        <w:overflowPunct/>
        <w:topLinePunct w:val="0"/>
        <w:autoSpaceDE/>
        <w:autoSpaceDN/>
        <w:bidi w:val="0"/>
        <w:adjustRightInd w:val="0"/>
        <w:snapToGrid w:val="0"/>
        <w:spacing w:line="560" w:lineRule="exact"/>
        <w:ind w:left="0" w:leftChars="0" w:right="0" w:rightChars="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            法定代表人（签字）：</w:t>
      </w:r>
    </w:p>
    <w:p w14:paraId="7F2ECAB9">
      <w:pPr>
        <w:pageBreakBefore w:val="0"/>
        <w:kinsoku/>
        <w:overflowPunct/>
        <w:topLinePunct w:val="0"/>
        <w:autoSpaceDE/>
        <w:autoSpaceDN/>
        <w:bidi w:val="0"/>
        <w:adjustRightInd w:val="0"/>
        <w:snapToGrid w:val="0"/>
        <w:spacing w:line="560" w:lineRule="exact"/>
        <w:ind w:left="0" w:leftChars="0" w:right="0" w:rightChars="0"/>
        <w:contextualSpacing/>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年  月  日                     年  月  日</w:t>
      </w:r>
    </w:p>
    <w:p w14:paraId="75AEADE6">
      <w:pPr>
        <w:pageBreakBefore w:val="0"/>
        <w:kinsoku/>
        <w:overflowPunct/>
        <w:topLinePunct w:val="0"/>
        <w:autoSpaceDE/>
        <w:autoSpaceDN/>
        <w:bidi w:val="0"/>
        <w:adjustRightInd w:val="0"/>
        <w:snapToGrid w:val="0"/>
        <w:spacing w:line="560" w:lineRule="exact"/>
        <w:ind w:left="0" w:leftChars="0" w:right="0" w:rightChars="0"/>
        <w:contextualSpacing/>
        <w:textAlignment w:val="auto"/>
        <w:rPr>
          <w:rFonts w:ascii="仿宋_GB2312" w:hAnsi="仿宋_GB2312" w:eastAsia="仿宋_GB2312" w:cs="仿宋_GB2312"/>
          <w:sz w:val="28"/>
          <w:szCs w:val="28"/>
          <w:highlight w:val="none"/>
        </w:rPr>
      </w:pPr>
    </w:p>
    <w:p w14:paraId="5A948D3D">
      <w:pPr>
        <w:pageBreakBefore w:val="0"/>
        <w:kinsoku/>
        <w:overflowPunct/>
        <w:topLinePunct w:val="0"/>
        <w:autoSpaceDE/>
        <w:autoSpaceDN/>
        <w:bidi w:val="0"/>
        <w:adjustRightInd w:val="0"/>
        <w:snapToGrid w:val="0"/>
        <w:spacing w:line="560" w:lineRule="exact"/>
        <w:ind w:left="0" w:leftChars="0" w:right="0" w:rightChars="0"/>
        <w:contextualSpacing/>
        <w:textAlignment w:val="auto"/>
        <w:rPr>
          <w:rFonts w:ascii="仿宋_GB2312" w:hAnsi="仿宋_GB2312" w:eastAsia="仿宋_GB2312" w:cs="仿宋_GB2312"/>
          <w:sz w:val="28"/>
          <w:szCs w:val="28"/>
          <w:highlight w:val="none"/>
        </w:rPr>
      </w:pPr>
    </w:p>
    <w:p w14:paraId="622F981C">
      <w:pPr>
        <w:pageBreakBefore w:val="0"/>
        <w:kinsoku/>
        <w:overflowPunct/>
        <w:topLinePunct w:val="0"/>
        <w:autoSpaceDE/>
        <w:autoSpaceDN/>
        <w:bidi w:val="0"/>
        <w:adjustRightInd w:val="0"/>
        <w:snapToGrid w:val="0"/>
        <w:spacing w:line="560" w:lineRule="exact"/>
        <w:ind w:left="0" w:leftChars="0" w:right="0" w:rightChars="0"/>
        <w:textAlignment w:val="auto"/>
        <w:rPr>
          <w:rFonts w:ascii="仿宋_GB2312" w:hAnsi="仿宋_GB2312" w:eastAsia="仿宋_GB2312" w:cs="仿宋_GB2312"/>
          <w:snapToGrid w:val="0"/>
          <w:sz w:val="28"/>
          <w:szCs w:val="28"/>
          <w:highlight w:val="none"/>
        </w:rPr>
      </w:pPr>
      <w:r>
        <w:rPr>
          <w:rFonts w:ascii="仿宋_GB2312" w:hAnsi="仿宋_GB2312" w:eastAsia="仿宋_GB2312" w:cs="仿宋_GB2312"/>
          <w:snapToGrid w:val="0"/>
          <w:sz w:val="28"/>
          <w:szCs w:val="28"/>
          <w:highlight w:val="none"/>
        </w:rPr>
        <w:br w:type="page"/>
      </w:r>
    </w:p>
    <w:p w14:paraId="462B669B">
      <w:pPr>
        <w:pStyle w:val="3"/>
        <w:keepNext w:val="0"/>
        <w:keepLines w:val="0"/>
        <w:pageBreakBefore w:val="0"/>
        <w:widowControl w:val="0"/>
        <w:kinsoku/>
        <w:overflowPunct/>
        <w:topLinePunct w:val="0"/>
        <w:autoSpaceDE/>
        <w:autoSpaceDN/>
        <w:bidi w:val="0"/>
        <w:adjustRightInd w:val="0"/>
        <w:snapToGrid w:val="0"/>
        <w:spacing w:before="0" w:beforeLines="0" w:after="0" w:afterLines="0" w:line="560" w:lineRule="exact"/>
        <w:ind w:left="0" w:leftChars="0" w:right="0" w:rightChars="0" w:firstLine="602" w:firstLineChars="200"/>
        <w:textAlignment w:val="auto"/>
        <w:rPr>
          <w:rFonts w:hint="eastAsia" w:ascii="仿宋_GB2312" w:hAnsi="仿宋_GB2312" w:eastAsia="仿宋_GB2312" w:cs="仿宋_GB2312"/>
          <w:bCs/>
          <w:sz w:val="30"/>
          <w:szCs w:val="30"/>
          <w:highlight w:val="none"/>
          <w:lang w:val="en-US" w:eastAsia="zh-CN"/>
        </w:rPr>
      </w:pPr>
      <w:bookmarkStart w:id="829" w:name="_Toc25817"/>
      <w:r>
        <w:rPr>
          <w:rFonts w:hint="eastAsia" w:ascii="仿宋_GB2312" w:hAnsi="仿宋_GB2312" w:eastAsia="仿宋_GB2312" w:cs="仿宋_GB2312"/>
          <w:b/>
          <w:bCs/>
          <w:sz w:val="30"/>
          <w:szCs w:val="30"/>
          <w:highlight w:val="none"/>
        </w:rPr>
        <w:t>附件</w:t>
      </w:r>
      <w:r>
        <w:rPr>
          <w:rFonts w:hint="eastAsia" w:ascii="仿宋_GB2312" w:hAnsi="仿宋_GB2312" w:eastAsia="仿宋_GB2312" w:cs="仿宋_GB2312"/>
          <w:b/>
          <w:bCs/>
          <w:sz w:val="30"/>
          <w:szCs w:val="30"/>
          <w:highlight w:val="none"/>
          <w:lang w:val="en-US" w:eastAsia="zh-CN"/>
        </w:rPr>
        <w:t>2：</w:t>
      </w:r>
      <w:bookmarkEnd w:id="829"/>
    </w:p>
    <w:p w14:paraId="64236F79">
      <w:pPr>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eastAsia" w:asciiTheme="majorEastAsia" w:hAnsiTheme="majorEastAsia" w:eastAsiaTheme="majorEastAsia" w:cstheme="majorEastAsia"/>
          <w:b/>
          <w:color w:val="000000"/>
          <w:sz w:val="44"/>
          <w:szCs w:val="40"/>
          <w:highlight w:val="none"/>
        </w:rPr>
      </w:pPr>
      <w:r>
        <w:rPr>
          <w:rFonts w:hint="eastAsia" w:asciiTheme="majorEastAsia" w:hAnsiTheme="majorEastAsia" w:eastAsiaTheme="majorEastAsia" w:cstheme="majorEastAsia"/>
          <w:b/>
          <w:color w:val="000000"/>
          <w:sz w:val="44"/>
          <w:szCs w:val="40"/>
          <w:highlight w:val="none"/>
        </w:rPr>
        <w:t>工程质量保修书</w:t>
      </w:r>
    </w:p>
    <w:p w14:paraId="372C66D6">
      <w:pPr>
        <w:pageBreakBefore w:val="0"/>
        <w:kinsoku/>
        <w:overflowPunct/>
        <w:topLinePunct w:val="0"/>
        <w:autoSpaceDE/>
        <w:autoSpaceDN/>
        <w:bidi w:val="0"/>
        <w:adjustRightInd w:val="0"/>
        <w:snapToGrid w:val="0"/>
        <w:spacing w:line="560" w:lineRule="exact"/>
        <w:ind w:left="0" w:leftChars="0" w:right="0" w:rightChars="0" w:firstLine="560" w:firstLineChars="200"/>
        <w:textAlignment w:val="auto"/>
        <w:rPr>
          <w:rFonts w:ascii="仿宋" w:hAnsi="仿宋" w:eastAsia="仿宋"/>
          <w:color w:val="000000"/>
          <w:sz w:val="28"/>
          <w:highlight w:val="none"/>
        </w:rPr>
      </w:pPr>
      <w:r>
        <w:rPr>
          <w:rFonts w:hint="eastAsia" w:ascii="仿宋" w:hAnsi="仿宋" w:eastAsia="仿宋"/>
          <w:color w:val="000000"/>
          <w:sz w:val="28"/>
          <w:highlight w:val="none"/>
        </w:rPr>
        <w:t>发包人</w:t>
      </w:r>
      <w:r>
        <w:rPr>
          <w:rFonts w:ascii="仿宋" w:hAnsi="仿宋" w:eastAsia="仿宋"/>
          <w:color w:val="000000"/>
          <w:sz w:val="28"/>
          <w:highlight w:val="none"/>
        </w:rPr>
        <w:t>（全称）：</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w:t>
      </w:r>
    </w:p>
    <w:p w14:paraId="404401C5">
      <w:pPr>
        <w:pageBreakBefore w:val="0"/>
        <w:kinsoku/>
        <w:overflowPunct/>
        <w:topLinePunct w:val="0"/>
        <w:autoSpaceDE/>
        <w:autoSpaceDN/>
        <w:bidi w:val="0"/>
        <w:adjustRightInd w:val="0"/>
        <w:snapToGrid w:val="0"/>
        <w:spacing w:line="560" w:lineRule="exact"/>
        <w:ind w:left="0" w:leftChars="0" w:right="0" w:rightChars="0"/>
        <w:textAlignment w:val="auto"/>
        <w:rPr>
          <w:rFonts w:ascii="仿宋" w:hAnsi="仿宋" w:eastAsia="仿宋"/>
          <w:color w:val="000000"/>
          <w:sz w:val="28"/>
          <w:highlight w:val="none"/>
        </w:rPr>
      </w:pPr>
      <w:r>
        <w:rPr>
          <w:rFonts w:ascii="仿宋" w:hAnsi="仿宋" w:eastAsia="仿宋"/>
          <w:color w:val="000000"/>
          <w:sz w:val="28"/>
          <w:highlight w:val="none"/>
        </w:rPr>
        <w:t>　　承包人（全称）：</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w:t>
      </w:r>
    </w:p>
    <w:p w14:paraId="18A0D4F1">
      <w:pPr>
        <w:pageBreakBefore w:val="0"/>
        <w:kinsoku/>
        <w:overflowPunct/>
        <w:topLinePunct w:val="0"/>
        <w:autoSpaceDE/>
        <w:autoSpaceDN/>
        <w:bidi w:val="0"/>
        <w:adjustRightInd w:val="0"/>
        <w:snapToGrid w:val="0"/>
        <w:spacing w:line="560" w:lineRule="exact"/>
        <w:ind w:left="0" w:leftChars="0" w:right="0" w:rightChars="0"/>
        <w:textAlignment w:val="auto"/>
        <w:rPr>
          <w:rFonts w:ascii="仿宋" w:hAnsi="仿宋" w:eastAsia="仿宋"/>
          <w:color w:val="000000"/>
          <w:sz w:val="28"/>
          <w:highlight w:val="none"/>
        </w:rPr>
      </w:pPr>
    </w:p>
    <w:p w14:paraId="0D954713">
      <w:pPr>
        <w:pageBreakBefore w:val="0"/>
        <w:kinsoku/>
        <w:overflowPunct/>
        <w:topLinePunct w:val="0"/>
        <w:autoSpaceDE/>
        <w:autoSpaceDN/>
        <w:bidi w:val="0"/>
        <w:adjustRightInd w:val="0"/>
        <w:snapToGrid w:val="0"/>
        <w:spacing w:line="560" w:lineRule="exact"/>
        <w:ind w:left="0" w:leftChars="0" w:right="0" w:rightChars="0"/>
        <w:textAlignment w:val="auto"/>
        <w:rPr>
          <w:rFonts w:ascii="仿宋" w:hAnsi="仿宋" w:eastAsia="仿宋"/>
          <w:color w:val="000000"/>
          <w:sz w:val="28"/>
          <w:highlight w:val="none"/>
        </w:rPr>
      </w:pPr>
      <w:r>
        <w:rPr>
          <w:rFonts w:ascii="仿宋" w:hAnsi="仿宋" w:eastAsia="仿宋"/>
          <w:color w:val="000000"/>
          <w:sz w:val="28"/>
          <w:highlight w:val="none"/>
        </w:rPr>
        <w:t>　　发包人和承包人根据《中华人民共和国建筑法》和《建设工程质量管理条例》，经协商一致就</w:t>
      </w:r>
      <w:r>
        <w:rPr>
          <w:rFonts w:ascii="仿宋" w:hAnsi="仿宋" w:eastAsia="仿宋"/>
          <w:color w:val="000000"/>
          <w:sz w:val="28"/>
          <w:highlight w:val="none"/>
          <w:u w:val="single"/>
        </w:rPr>
        <w:t xml:space="preserve">                </w:t>
      </w:r>
      <w:r>
        <w:rPr>
          <w:rFonts w:ascii="仿宋" w:hAnsi="仿宋" w:eastAsia="仿宋"/>
          <w:color w:val="000000"/>
          <w:sz w:val="28"/>
          <w:highlight w:val="none"/>
        </w:rPr>
        <w:t>（工程全称）签订工程质量保修书。</w:t>
      </w:r>
    </w:p>
    <w:p w14:paraId="28872AA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b/>
          <w:color w:val="000000"/>
          <w:sz w:val="28"/>
          <w:highlight w:val="none"/>
        </w:rPr>
      </w:pPr>
      <w:r>
        <w:rPr>
          <w:rFonts w:ascii="仿宋" w:hAnsi="仿宋" w:eastAsia="仿宋"/>
          <w:b/>
          <w:color w:val="000000"/>
          <w:sz w:val="28"/>
          <w:highlight w:val="none"/>
        </w:rPr>
        <w:t>　　</w:t>
      </w:r>
      <w:bookmarkStart w:id="830" w:name="_Toc29738"/>
      <w:r>
        <w:rPr>
          <w:rFonts w:ascii="仿宋" w:hAnsi="仿宋" w:eastAsia="仿宋"/>
          <w:b/>
          <w:color w:val="000000"/>
          <w:sz w:val="28"/>
          <w:highlight w:val="none"/>
        </w:rPr>
        <w:t>一、工程质量保修范围和内容</w:t>
      </w:r>
      <w:bookmarkEnd w:id="830"/>
    </w:p>
    <w:p w14:paraId="47F1B3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rPr>
      </w:pPr>
      <w:r>
        <w:rPr>
          <w:rFonts w:ascii="仿宋" w:hAnsi="仿宋" w:eastAsia="仿宋"/>
          <w:color w:val="000000"/>
          <w:sz w:val="28"/>
          <w:highlight w:val="none"/>
        </w:rPr>
        <w:t>　　承包人在质量保修期内，按照有关法律规定和合同约定，承担工程质量保修责任。</w:t>
      </w:r>
    </w:p>
    <w:p w14:paraId="42B9BB2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rPr>
      </w:pPr>
      <w:r>
        <w:rPr>
          <w:rFonts w:ascii="仿宋" w:hAnsi="仿宋" w:eastAsia="仿宋"/>
          <w:color w:val="000000"/>
          <w:sz w:val="28"/>
          <w:highlight w:val="none"/>
        </w:rPr>
        <w:t>　　质量保修范围包括地基基础工程、主体结构工程，屋面防水工程、有防水要求的卫生间、房间和外墙面的防渗漏，电气管线、给排水管道、设备安装和装修工程，</w:t>
      </w:r>
      <w:r>
        <w:rPr>
          <w:rFonts w:hint="eastAsia" w:ascii="仿宋" w:hAnsi="仿宋" w:eastAsia="仿宋"/>
          <w:color w:val="000000"/>
          <w:sz w:val="28"/>
          <w:highlight w:val="none"/>
        </w:rPr>
        <w:t>桥梁、园区道路路基、路面</w:t>
      </w:r>
      <w:r>
        <w:rPr>
          <w:rFonts w:ascii="仿宋" w:hAnsi="仿宋" w:eastAsia="仿宋"/>
          <w:color w:val="000000"/>
          <w:sz w:val="28"/>
          <w:highlight w:val="none"/>
        </w:rPr>
        <w:t>以及双方约定的其他项目。具体保修的内容，双方约定如下：</w:t>
      </w:r>
    </w:p>
    <w:p w14:paraId="5FD3CA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rPr>
      </w:pPr>
      <w:r>
        <w:rPr>
          <w:rFonts w:ascii="仿宋" w:hAnsi="仿宋" w:eastAsia="仿宋"/>
          <w:color w:val="000000"/>
          <w:sz w:val="28"/>
          <w:highlight w:val="none"/>
        </w:rPr>
        <w:t>　　</w:t>
      </w:r>
      <w:r>
        <w:rPr>
          <w:rFonts w:hint="eastAsia" w:ascii="仿宋" w:hAnsi="仿宋" w:eastAsia="仿宋"/>
          <w:color w:val="000000"/>
          <w:sz w:val="28"/>
          <w:highlight w:val="none"/>
          <w:u w:val="single"/>
        </w:rPr>
        <w:t>合同价款（包括补充合同价款）所包含的工程项目，设计变更，现场签证和书面文字约定，发包人承包人双方或多方会议约定的全部内容</w:t>
      </w:r>
      <w:r>
        <w:rPr>
          <w:rFonts w:ascii="仿宋" w:hAnsi="仿宋" w:eastAsia="仿宋"/>
          <w:color w:val="000000"/>
          <w:sz w:val="28"/>
          <w:highlight w:val="none"/>
          <w:u w:val="single"/>
        </w:rPr>
        <w:t xml:space="preserve">  </w:t>
      </w:r>
      <w:r>
        <w:rPr>
          <w:rFonts w:ascii="仿宋" w:hAnsi="仿宋" w:eastAsia="仿宋"/>
          <w:color w:val="000000"/>
          <w:sz w:val="28"/>
          <w:highlight w:val="none"/>
        </w:rPr>
        <w:t>。</w:t>
      </w:r>
    </w:p>
    <w:p w14:paraId="736E5D4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b/>
          <w:color w:val="000000"/>
          <w:sz w:val="28"/>
          <w:highlight w:val="none"/>
        </w:rPr>
      </w:pPr>
      <w:r>
        <w:rPr>
          <w:rFonts w:ascii="仿宋" w:hAnsi="仿宋" w:eastAsia="仿宋"/>
          <w:b/>
          <w:color w:val="000000"/>
          <w:sz w:val="28"/>
          <w:highlight w:val="none"/>
        </w:rPr>
        <w:t>　　</w:t>
      </w:r>
      <w:bookmarkStart w:id="831" w:name="_Toc20870"/>
      <w:r>
        <w:rPr>
          <w:rFonts w:ascii="仿宋" w:hAnsi="仿宋" w:eastAsia="仿宋"/>
          <w:b/>
          <w:color w:val="000000"/>
          <w:sz w:val="28"/>
          <w:highlight w:val="none"/>
        </w:rPr>
        <w:t>二、质量保修期</w:t>
      </w:r>
      <w:bookmarkEnd w:id="831"/>
    </w:p>
    <w:p w14:paraId="5B8E86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color w:val="000000"/>
          <w:sz w:val="28"/>
          <w:highlight w:val="none"/>
        </w:rPr>
      </w:pPr>
      <w:r>
        <w:rPr>
          <w:rFonts w:ascii="仿宋" w:hAnsi="仿宋" w:eastAsia="仿宋"/>
          <w:color w:val="000000"/>
          <w:sz w:val="28"/>
          <w:highlight w:val="none"/>
        </w:rPr>
        <w:t>根据《建设工程质量管理条例》及有关规定，工程的质量保修期如下：</w:t>
      </w:r>
    </w:p>
    <w:p w14:paraId="738668F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sz w:val="28"/>
          <w:highlight w:val="none"/>
        </w:rPr>
      </w:pPr>
      <w:r>
        <w:rPr>
          <w:rFonts w:ascii="仿宋" w:hAnsi="仿宋" w:eastAsia="仿宋"/>
          <w:sz w:val="28"/>
          <w:highlight w:val="none"/>
        </w:rPr>
        <w:t>1</w:t>
      </w:r>
      <w:r>
        <w:rPr>
          <w:rFonts w:hint="eastAsia" w:ascii="仿宋" w:hAnsi="仿宋" w:eastAsia="仿宋"/>
          <w:color w:val="000000"/>
          <w:sz w:val="28"/>
          <w:highlight w:val="none"/>
        </w:rPr>
        <w:t>．</w:t>
      </w:r>
      <w:r>
        <w:rPr>
          <w:rFonts w:hint="eastAsia" w:ascii="仿宋" w:hAnsi="仿宋" w:eastAsia="仿宋"/>
          <w:sz w:val="28"/>
          <w:highlight w:val="none"/>
        </w:rPr>
        <w:t>地基基础工程和主体结构工程为设计文件规定的工程合理使用年限；</w:t>
      </w:r>
    </w:p>
    <w:p w14:paraId="294711F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color w:val="000000"/>
          <w:sz w:val="28"/>
          <w:highlight w:val="none"/>
        </w:rPr>
      </w:pPr>
      <w:r>
        <w:rPr>
          <w:rFonts w:ascii="仿宋" w:hAnsi="仿宋" w:eastAsia="仿宋"/>
          <w:color w:val="000000"/>
          <w:sz w:val="28"/>
          <w:highlight w:val="none"/>
        </w:rPr>
        <w:t>2</w:t>
      </w:r>
      <w:r>
        <w:rPr>
          <w:rFonts w:hint="eastAsia" w:ascii="仿宋" w:hAnsi="仿宋" w:eastAsia="仿宋"/>
          <w:sz w:val="28"/>
          <w:highlight w:val="none"/>
        </w:rPr>
        <w:t>．</w:t>
      </w:r>
      <w:r>
        <w:rPr>
          <w:rFonts w:ascii="仿宋" w:hAnsi="仿宋" w:eastAsia="仿宋"/>
          <w:color w:val="000000"/>
          <w:sz w:val="28"/>
          <w:highlight w:val="none"/>
        </w:rPr>
        <w:t>屋面防水工程、有防水要求的卫生间、房间和外墙面的防渗</w:t>
      </w:r>
      <w:r>
        <w:rPr>
          <w:rFonts w:hint="eastAsia" w:ascii="仿宋" w:hAnsi="仿宋" w:eastAsia="仿宋"/>
          <w:color w:val="000000"/>
          <w:sz w:val="28"/>
          <w:highlight w:val="none"/>
        </w:rPr>
        <w:t>为</w:t>
      </w:r>
      <w:r>
        <w:rPr>
          <w:rFonts w:ascii="仿宋" w:hAnsi="仿宋" w:eastAsia="仿宋"/>
          <w:color w:val="000000"/>
          <w:sz w:val="28"/>
          <w:highlight w:val="none"/>
          <w:u w:val="single"/>
        </w:rPr>
        <w:t xml:space="preserve">     5   </w:t>
      </w:r>
      <w:r>
        <w:rPr>
          <w:rFonts w:ascii="仿宋" w:hAnsi="仿宋" w:eastAsia="仿宋"/>
          <w:color w:val="000000"/>
          <w:sz w:val="28"/>
          <w:highlight w:val="none"/>
        </w:rPr>
        <w:t>年；</w:t>
      </w:r>
    </w:p>
    <w:p w14:paraId="77FD068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40" w:firstLineChars="50"/>
        <w:textAlignment w:val="auto"/>
        <w:outlineLvl w:val="9"/>
        <w:rPr>
          <w:rFonts w:ascii="仿宋" w:hAnsi="仿宋" w:eastAsia="仿宋"/>
          <w:color w:val="000000"/>
          <w:sz w:val="28"/>
          <w:highlight w:val="none"/>
        </w:rPr>
      </w:pPr>
      <w:r>
        <w:rPr>
          <w:rFonts w:ascii="仿宋" w:hAnsi="仿宋" w:eastAsia="仿宋"/>
          <w:color w:val="000000"/>
          <w:sz w:val="28"/>
          <w:highlight w:val="none"/>
        </w:rPr>
        <w:t>3</w:t>
      </w:r>
      <w:r>
        <w:rPr>
          <w:rFonts w:hint="eastAsia" w:ascii="仿宋" w:hAnsi="仿宋" w:eastAsia="仿宋"/>
          <w:sz w:val="28"/>
          <w:highlight w:val="none"/>
        </w:rPr>
        <w:t>．</w:t>
      </w:r>
      <w:r>
        <w:rPr>
          <w:rFonts w:ascii="仿宋" w:hAnsi="仿宋" w:eastAsia="仿宋"/>
          <w:color w:val="000000"/>
          <w:sz w:val="28"/>
          <w:highlight w:val="none"/>
        </w:rPr>
        <w:t>装修工程为</w:t>
      </w:r>
      <w:r>
        <w:rPr>
          <w:rFonts w:ascii="仿宋" w:hAnsi="仿宋" w:eastAsia="仿宋"/>
          <w:color w:val="000000"/>
          <w:sz w:val="28"/>
          <w:highlight w:val="none"/>
          <w:u w:val="single"/>
        </w:rPr>
        <w:t xml:space="preserve">     2    </w:t>
      </w:r>
      <w:r>
        <w:rPr>
          <w:rFonts w:ascii="仿宋" w:hAnsi="仿宋" w:eastAsia="仿宋"/>
          <w:color w:val="000000"/>
          <w:sz w:val="28"/>
          <w:highlight w:val="none"/>
        </w:rPr>
        <w:t>年；</w:t>
      </w:r>
    </w:p>
    <w:p w14:paraId="5E4CEB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40" w:firstLineChars="50"/>
        <w:textAlignment w:val="auto"/>
        <w:outlineLvl w:val="9"/>
        <w:rPr>
          <w:rFonts w:ascii="仿宋" w:hAnsi="仿宋" w:eastAsia="仿宋"/>
          <w:color w:val="000000"/>
          <w:sz w:val="28"/>
          <w:highlight w:val="none"/>
        </w:rPr>
      </w:pPr>
      <w:r>
        <w:rPr>
          <w:rFonts w:ascii="仿宋" w:hAnsi="仿宋" w:eastAsia="仿宋"/>
          <w:color w:val="000000"/>
          <w:sz w:val="28"/>
          <w:highlight w:val="none"/>
        </w:rPr>
        <w:t>4</w:t>
      </w:r>
      <w:r>
        <w:rPr>
          <w:rFonts w:hint="eastAsia" w:ascii="仿宋" w:hAnsi="仿宋" w:eastAsia="仿宋"/>
          <w:sz w:val="28"/>
          <w:highlight w:val="none"/>
        </w:rPr>
        <w:t>．</w:t>
      </w:r>
      <w:r>
        <w:rPr>
          <w:rFonts w:ascii="仿宋" w:hAnsi="仿宋" w:eastAsia="仿宋"/>
          <w:color w:val="000000"/>
          <w:sz w:val="28"/>
          <w:highlight w:val="none"/>
        </w:rPr>
        <w:t>电气管线、给排水管道、设备安装工程为</w:t>
      </w:r>
      <w:r>
        <w:rPr>
          <w:rFonts w:ascii="仿宋" w:hAnsi="仿宋" w:eastAsia="仿宋"/>
          <w:color w:val="000000"/>
          <w:sz w:val="28"/>
          <w:highlight w:val="none"/>
          <w:u w:val="single"/>
        </w:rPr>
        <w:t xml:space="preserve">     2    </w:t>
      </w:r>
      <w:r>
        <w:rPr>
          <w:rFonts w:ascii="仿宋" w:hAnsi="仿宋" w:eastAsia="仿宋"/>
          <w:color w:val="000000"/>
          <w:sz w:val="28"/>
          <w:highlight w:val="none"/>
        </w:rPr>
        <w:t>年；</w:t>
      </w:r>
    </w:p>
    <w:p w14:paraId="3A7782B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40" w:firstLineChars="50"/>
        <w:textAlignment w:val="auto"/>
        <w:outlineLvl w:val="9"/>
        <w:rPr>
          <w:rFonts w:ascii="仿宋" w:hAnsi="仿宋" w:eastAsia="仿宋"/>
          <w:color w:val="000000"/>
          <w:sz w:val="28"/>
          <w:highlight w:val="none"/>
        </w:rPr>
      </w:pPr>
      <w:r>
        <w:rPr>
          <w:rFonts w:ascii="仿宋" w:hAnsi="仿宋" w:eastAsia="仿宋"/>
          <w:color w:val="000000"/>
          <w:sz w:val="28"/>
          <w:highlight w:val="none"/>
        </w:rPr>
        <w:t>5</w:t>
      </w:r>
      <w:r>
        <w:rPr>
          <w:rFonts w:hint="eastAsia" w:ascii="仿宋" w:hAnsi="仿宋" w:eastAsia="仿宋"/>
          <w:sz w:val="28"/>
          <w:highlight w:val="none"/>
        </w:rPr>
        <w:t>．</w:t>
      </w:r>
      <w:r>
        <w:rPr>
          <w:rFonts w:ascii="仿宋" w:hAnsi="仿宋" w:eastAsia="仿宋"/>
          <w:color w:val="000000"/>
          <w:sz w:val="28"/>
          <w:highlight w:val="none"/>
        </w:rPr>
        <w:t>供热与供冷系统为</w:t>
      </w:r>
      <w:r>
        <w:rPr>
          <w:rFonts w:ascii="仿宋" w:hAnsi="仿宋" w:eastAsia="仿宋"/>
          <w:color w:val="000000"/>
          <w:sz w:val="28"/>
          <w:highlight w:val="none"/>
          <w:u w:val="single"/>
        </w:rPr>
        <w:t xml:space="preserve">    2     </w:t>
      </w:r>
      <w:r>
        <w:rPr>
          <w:rFonts w:ascii="仿宋" w:hAnsi="仿宋" w:eastAsia="仿宋"/>
          <w:color w:val="000000"/>
          <w:sz w:val="28"/>
          <w:highlight w:val="none"/>
        </w:rPr>
        <w:t>个采暖期、供冷期；</w:t>
      </w:r>
    </w:p>
    <w:p w14:paraId="52543F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40" w:firstLineChars="50"/>
        <w:textAlignment w:val="auto"/>
        <w:outlineLvl w:val="9"/>
        <w:rPr>
          <w:rFonts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sz w:val="28"/>
          <w:highlight w:val="none"/>
        </w:rPr>
        <w:t>．</w:t>
      </w:r>
      <w:r>
        <w:rPr>
          <w:rFonts w:ascii="仿宋" w:hAnsi="仿宋" w:eastAsia="仿宋"/>
          <w:color w:val="000000"/>
          <w:sz w:val="28"/>
          <w:highlight w:val="none"/>
        </w:rPr>
        <w:t>住宅小区内的给排水设施、道路等配套工程为</w:t>
      </w:r>
      <w:r>
        <w:rPr>
          <w:rFonts w:ascii="仿宋" w:hAnsi="仿宋" w:eastAsia="仿宋"/>
          <w:color w:val="000000"/>
          <w:sz w:val="28"/>
          <w:highlight w:val="none"/>
          <w:u w:val="single"/>
        </w:rPr>
        <w:t xml:space="preserve">     </w:t>
      </w:r>
      <w:r>
        <w:rPr>
          <w:rFonts w:ascii="仿宋" w:hAnsi="仿宋" w:eastAsia="仿宋"/>
          <w:color w:val="000000"/>
          <w:sz w:val="28"/>
          <w:highlight w:val="none"/>
        </w:rPr>
        <w:t>2</w:t>
      </w:r>
      <w:r>
        <w:rPr>
          <w:rFonts w:ascii="仿宋" w:hAnsi="仿宋" w:eastAsia="仿宋"/>
          <w:color w:val="000000"/>
          <w:sz w:val="28"/>
          <w:highlight w:val="none"/>
          <w:u w:val="single"/>
        </w:rPr>
        <w:t xml:space="preserve">    </w:t>
      </w:r>
      <w:r>
        <w:rPr>
          <w:rFonts w:ascii="仿宋" w:hAnsi="仿宋" w:eastAsia="仿宋"/>
          <w:color w:val="000000"/>
          <w:sz w:val="28"/>
          <w:highlight w:val="none"/>
        </w:rPr>
        <w:t>年；</w:t>
      </w:r>
    </w:p>
    <w:p w14:paraId="0AB7959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40" w:firstLineChars="50"/>
        <w:textAlignment w:val="auto"/>
        <w:outlineLvl w:val="9"/>
        <w:rPr>
          <w:rFonts w:ascii="仿宋" w:hAnsi="仿宋" w:eastAsia="仿宋"/>
          <w:color w:val="000000"/>
          <w:sz w:val="28"/>
          <w:highlight w:val="none"/>
        </w:rPr>
      </w:pPr>
      <w:r>
        <w:rPr>
          <w:rFonts w:ascii="仿宋" w:hAnsi="仿宋" w:eastAsia="仿宋"/>
          <w:color w:val="000000"/>
          <w:sz w:val="28"/>
          <w:highlight w:val="none"/>
        </w:rPr>
        <w:t>7</w:t>
      </w:r>
      <w:r>
        <w:rPr>
          <w:rFonts w:hint="eastAsia" w:ascii="仿宋" w:hAnsi="仿宋" w:eastAsia="仿宋"/>
          <w:sz w:val="28"/>
          <w:highlight w:val="none"/>
        </w:rPr>
        <w:t>．</w:t>
      </w:r>
      <w:r>
        <w:rPr>
          <w:rFonts w:ascii="仿宋" w:hAnsi="仿宋" w:eastAsia="仿宋"/>
          <w:color w:val="000000"/>
          <w:sz w:val="28"/>
          <w:highlight w:val="none"/>
        </w:rPr>
        <w:t>其他项目保修期限约定如下：</w:t>
      </w:r>
    </w:p>
    <w:p w14:paraId="4C62F30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color w:val="000000"/>
          <w:sz w:val="28"/>
          <w:highlight w:val="none"/>
        </w:rPr>
      </w:pPr>
      <w:r>
        <w:rPr>
          <w:rFonts w:hint="eastAsia" w:ascii="仿宋" w:hAnsi="仿宋" w:eastAsia="仿宋"/>
          <w:color w:val="000000"/>
          <w:sz w:val="28"/>
          <w:highlight w:val="none"/>
          <w:u w:val="single"/>
        </w:rPr>
        <w:t>未明确说明的项目保修期为</w:t>
      </w:r>
      <w:r>
        <w:rPr>
          <w:rFonts w:ascii="仿宋" w:hAnsi="仿宋" w:eastAsia="仿宋"/>
          <w:color w:val="000000"/>
          <w:sz w:val="28"/>
          <w:highlight w:val="none"/>
          <w:u w:val="single"/>
        </w:rPr>
        <w:t>2年。</w:t>
      </w:r>
    </w:p>
    <w:p w14:paraId="364105E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rPr>
      </w:pPr>
      <w:r>
        <w:rPr>
          <w:rFonts w:ascii="仿宋" w:hAnsi="仿宋" w:eastAsia="仿宋"/>
          <w:color w:val="000000"/>
          <w:sz w:val="28"/>
          <w:highlight w:val="none"/>
        </w:rPr>
        <w:t>　　质量保修期自</w:t>
      </w:r>
      <w:r>
        <w:rPr>
          <w:rFonts w:hint="eastAsia" w:ascii="仿宋" w:hAnsi="仿宋" w:eastAsia="仿宋"/>
          <w:color w:val="000000"/>
          <w:sz w:val="28"/>
          <w:highlight w:val="none"/>
        </w:rPr>
        <w:t>发包人</w:t>
      </w:r>
      <w:r>
        <w:rPr>
          <w:rFonts w:ascii="仿宋" w:hAnsi="仿宋" w:eastAsia="仿宋"/>
          <w:color w:val="000000"/>
          <w:sz w:val="28"/>
          <w:highlight w:val="none"/>
        </w:rPr>
        <w:t>发出工程竣工验收合格</w:t>
      </w:r>
      <w:r>
        <w:rPr>
          <w:rFonts w:hint="eastAsia" w:ascii="仿宋" w:hAnsi="仿宋" w:eastAsia="仿宋"/>
          <w:color w:val="000000"/>
          <w:sz w:val="28"/>
          <w:highlight w:val="none"/>
        </w:rPr>
        <w:t>证书</w:t>
      </w:r>
      <w:r>
        <w:rPr>
          <w:rFonts w:ascii="仿宋" w:hAnsi="仿宋" w:eastAsia="仿宋"/>
          <w:color w:val="000000"/>
          <w:sz w:val="28"/>
          <w:highlight w:val="none"/>
        </w:rPr>
        <w:t>之日起计算。</w:t>
      </w:r>
    </w:p>
    <w:p w14:paraId="12495A1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textAlignment w:val="auto"/>
        <w:outlineLvl w:val="9"/>
        <w:rPr>
          <w:rFonts w:ascii="仿宋" w:hAnsi="仿宋" w:eastAsia="仿宋"/>
          <w:b/>
          <w:color w:val="000000"/>
          <w:sz w:val="28"/>
          <w:highlight w:val="none"/>
        </w:rPr>
      </w:pPr>
      <w:bookmarkStart w:id="832" w:name="_Toc13612"/>
      <w:r>
        <w:rPr>
          <w:rFonts w:ascii="仿宋" w:hAnsi="仿宋" w:eastAsia="仿宋"/>
          <w:b/>
          <w:color w:val="000000"/>
          <w:sz w:val="28"/>
          <w:highlight w:val="none"/>
        </w:rPr>
        <w:t>三、缺陷责任期</w:t>
      </w:r>
      <w:bookmarkEnd w:id="832"/>
    </w:p>
    <w:p w14:paraId="26A087F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color w:val="000000"/>
          <w:sz w:val="28"/>
          <w:highlight w:val="none"/>
        </w:rPr>
      </w:pPr>
      <w:r>
        <w:rPr>
          <w:rFonts w:ascii="仿宋" w:hAnsi="仿宋" w:eastAsia="仿宋"/>
          <w:color w:val="000000"/>
          <w:sz w:val="28"/>
          <w:highlight w:val="none"/>
        </w:rPr>
        <w:t>工程缺陷责任期为</w:t>
      </w:r>
      <w:r>
        <w:rPr>
          <w:rFonts w:ascii="仿宋" w:hAnsi="仿宋" w:eastAsia="仿宋"/>
          <w:color w:val="000000"/>
          <w:sz w:val="28"/>
          <w:highlight w:val="none"/>
          <w:u w:val="single"/>
        </w:rPr>
        <w:t xml:space="preserve">  </w:t>
      </w:r>
      <w:r>
        <w:rPr>
          <w:rFonts w:ascii="仿宋" w:hAnsi="仿宋" w:eastAsia="仿宋"/>
          <w:sz w:val="28"/>
          <w:highlight w:val="none"/>
          <w:u w:val="single"/>
        </w:rPr>
        <w:t>24</w:t>
      </w:r>
      <w:r>
        <w:rPr>
          <w:rFonts w:ascii="仿宋" w:hAnsi="仿宋" w:eastAsia="仿宋"/>
          <w:color w:val="000000"/>
          <w:sz w:val="28"/>
          <w:highlight w:val="none"/>
          <w:u w:val="single"/>
        </w:rPr>
        <w:t xml:space="preserve">  </w:t>
      </w:r>
      <w:r>
        <w:rPr>
          <w:rFonts w:ascii="仿宋" w:hAnsi="仿宋" w:eastAsia="仿宋"/>
          <w:color w:val="000000"/>
          <w:sz w:val="28"/>
          <w:highlight w:val="none"/>
        </w:rPr>
        <w:t>个月，缺陷责任期自</w:t>
      </w:r>
      <w:r>
        <w:rPr>
          <w:rFonts w:hint="eastAsia" w:ascii="仿宋" w:hAnsi="仿宋" w:eastAsia="仿宋"/>
          <w:color w:val="000000"/>
          <w:sz w:val="28"/>
          <w:highlight w:val="none"/>
        </w:rPr>
        <w:t>发包人发出工程竣工验收合格证书之日</w:t>
      </w:r>
      <w:r>
        <w:rPr>
          <w:rFonts w:ascii="仿宋" w:hAnsi="仿宋" w:eastAsia="仿宋"/>
          <w:color w:val="000000"/>
          <w:sz w:val="28"/>
          <w:highlight w:val="none"/>
        </w:rPr>
        <w:t>起计算。单位工程先于全部工程进行验收，</w:t>
      </w:r>
      <w:r>
        <w:rPr>
          <w:rFonts w:hint="eastAsia" w:ascii="仿宋" w:hAnsi="仿宋" w:eastAsia="仿宋"/>
          <w:color w:val="000000"/>
          <w:sz w:val="28"/>
          <w:highlight w:val="none"/>
        </w:rPr>
        <w:t>该</w:t>
      </w:r>
      <w:r>
        <w:rPr>
          <w:rFonts w:ascii="仿宋" w:hAnsi="仿宋" w:eastAsia="仿宋"/>
          <w:color w:val="000000"/>
          <w:sz w:val="28"/>
          <w:highlight w:val="none"/>
        </w:rPr>
        <w:t>单位工程缺陷责任期自</w:t>
      </w:r>
      <w:r>
        <w:rPr>
          <w:rFonts w:hint="eastAsia" w:ascii="仿宋" w:hAnsi="仿宋" w:eastAsia="仿宋"/>
          <w:color w:val="000000"/>
          <w:sz w:val="28"/>
          <w:highlight w:val="none"/>
        </w:rPr>
        <w:t>全部</w:t>
      </w:r>
      <w:r>
        <w:rPr>
          <w:rFonts w:ascii="仿宋" w:hAnsi="仿宋" w:eastAsia="仿宋"/>
          <w:color w:val="000000"/>
          <w:sz w:val="28"/>
          <w:highlight w:val="none"/>
        </w:rPr>
        <w:t>工程验收合格之日起算。</w:t>
      </w:r>
    </w:p>
    <w:p w14:paraId="095246A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color w:val="000000"/>
          <w:sz w:val="28"/>
          <w:highlight w:val="none"/>
        </w:rPr>
      </w:pPr>
      <w:r>
        <w:rPr>
          <w:rFonts w:ascii="仿宋" w:hAnsi="仿宋" w:eastAsia="仿宋"/>
          <w:color w:val="000000"/>
          <w:sz w:val="28"/>
          <w:highlight w:val="none"/>
        </w:rPr>
        <w:t>缺陷责任期终止后，</w:t>
      </w:r>
      <w:r>
        <w:rPr>
          <w:rFonts w:hint="eastAsia" w:ascii="仿宋" w:hAnsi="仿宋" w:eastAsia="仿宋"/>
          <w:color w:val="000000"/>
          <w:sz w:val="28"/>
          <w:highlight w:val="none"/>
        </w:rPr>
        <w:t>按照</w:t>
      </w:r>
      <w:r>
        <w:rPr>
          <w:rFonts w:hint="eastAsia" w:ascii="仿宋" w:hAnsi="仿宋" w:eastAsia="仿宋"/>
          <w:b/>
          <w:bCs/>
          <w:i/>
          <w:iCs/>
          <w:color w:val="000000"/>
          <w:sz w:val="28"/>
          <w:highlight w:val="none"/>
        </w:rPr>
        <w:t>专用条款</w:t>
      </w:r>
      <w:r>
        <w:rPr>
          <w:rFonts w:hint="eastAsia" w:ascii="仿宋" w:hAnsi="仿宋" w:eastAsia="仿宋"/>
          <w:color w:val="000000"/>
          <w:sz w:val="28"/>
          <w:highlight w:val="none"/>
        </w:rPr>
        <w:t>约定，</w:t>
      </w:r>
      <w:r>
        <w:rPr>
          <w:rFonts w:ascii="仿宋" w:hAnsi="仿宋" w:eastAsia="仿宋"/>
          <w:color w:val="000000"/>
          <w:sz w:val="28"/>
          <w:highlight w:val="none"/>
        </w:rPr>
        <w:t>发包人应</w:t>
      </w:r>
      <w:r>
        <w:rPr>
          <w:rFonts w:hint="eastAsia" w:ascii="仿宋" w:hAnsi="仿宋" w:eastAsia="仿宋"/>
          <w:color w:val="000000"/>
          <w:sz w:val="28"/>
          <w:highlight w:val="none"/>
        </w:rPr>
        <w:t>无息</w:t>
      </w:r>
      <w:r>
        <w:rPr>
          <w:rFonts w:ascii="仿宋" w:hAnsi="仿宋" w:eastAsia="仿宋"/>
          <w:color w:val="000000"/>
          <w:sz w:val="28"/>
          <w:highlight w:val="none"/>
        </w:rPr>
        <w:t>退还剩余的质量保证金</w:t>
      </w:r>
      <w:r>
        <w:rPr>
          <w:rFonts w:hint="eastAsia" w:ascii="仿宋" w:hAnsi="仿宋" w:eastAsia="仿宋"/>
          <w:color w:val="000000"/>
          <w:sz w:val="28"/>
          <w:highlight w:val="none"/>
        </w:rPr>
        <w:t>（如有）</w:t>
      </w:r>
      <w:r>
        <w:rPr>
          <w:rFonts w:ascii="仿宋" w:hAnsi="仿宋" w:eastAsia="仿宋"/>
          <w:color w:val="000000"/>
          <w:sz w:val="28"/>
          <w:highlight w:val="none"/>
        </w:rPr>
        <w:t>。</w:t>
      </w:r>
    </w:p>
    <w:p w14:paraId="0CEB44C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b/>
          <w:color w:val="000000"/>
          <w:sz w:val="28"/>
          <w:highlight w:val="none"/>
        </w:rPr>
      </w:pPr>
      <w:r>
        <w:rPr>
          <w:rFonts w:ascii="仿宋" w:hAnsi="仿宋" w:eastAsia="仿宋"/>
          <w:b/>
          <w:color w:val="000000"/>
          <w:sz w:val="28"/>
          <w:highlight w:val="none"/>
        </w:rPr>
        <w:t xml:space="preserve">    </w:t>
      </w:r>
      <w:bookmarkStart w:id="833" w:name="_Toc11831"/>
      <w:r>
        <w:rPr>
          <w:rFonts w:ascii="仿宋" w:hAnsi="仿宋" w:eastAsia="仿宋"/>
          <w:b/>
          <w:color w:val="000000"/>
          <w:sz w:val="28"/>
          <w:highlight w:val="none"/>
        </w:rPr>
        <w:t>四、质量保修责任</w:t>
      </w:r>
      <w:bookmarkEnd w:id="833"/>
    </w:p>
    <w:p w14:paraId="6720054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4" w:firstLineChars="205"/>
        <w:textAlignment w:val="auto"/>
        <w:outlineLvl w:val="9"/>
        <w:rPr>
          <w:rFonts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sz w:val="28"/>
          <w:highlight w:val="none"/>
        </w:rPr>
        <w:t>．</w:t>
      </w:r>
      <w:r>
        <w:rPr>
          <w:rFonts w:ascii="仿宋" w:hAnsi="仿宋" w:eastAsia="仿宋"/>
          <w:color w:val="000000"/>
          <w:sz w:val="28"/>
          <w:highlight w:val="none"/>
        </w:rPr>
        <w:t>属于保修范围、内容的项目，承包人应当在接到保修通知之日起</w:t>
      </w:r>
      <w:r>
        <w:rPr>
          <w:rFonts w:ascii="仿宋" w:hAnsi="仿宋" w:eastAsia="仿宋"/>
          <w:color w:val="000000"/>
          <w:sz w:val="28"/>
          <w:highlight w:val="none"/>
          <w:u w:val="single"/>
        </w:rPr>
        <w:t>24</w:t>
      </w:r>
      <w:r>
        <w:rPr>
          <w:rFonts w:hint="eastAsia" w:ascii="仿宋" w:hAnsi="仿宋" w:eastAsia="仿宋"/>
          <w:color w:val="000000"/>
          <w:sz w:val="28"/>
          <w:highlight w:val="none"/>
          <w:u w:val="single"/>
        </w:rPr>
        <w:t>小时</w:t>
      </w:r>
      <w:r>
        <w:rPr>
          <w:rFonts w:ascii="仿宋" w:hAnsi="仿宋" w:eastAsia="仿宋"/>
          <w:color w:val="000000"/>
          <w:sz w:val="28"/>
          <w:highlight w:val="none"/>
        </w:rPr>
        <w:t>内派人保修。承包人不在约定期限内派人保修的，发包人</w:t>
      </w:r>
      <w:r>
        <w:rPr>
          <w:rFonts w:hint="eastAsia" w:ascii="仿宋" w:hAnsi="仿宋" w:eastAsia="仿宋"/>
          <w:color w:val="000000"/>
          <w:sz w:val="28"/>
          <w:highlight w:val="none"/>
        </w:rPr>
        <w:t>有权</w:t>
      </w:r>
      <w:r>
        <w:rPr>
          <w:rFonts w:ascii="仿宋" w:hAnsi="仿宋" w:eastAsia="仿宋"/>
          <w:color w:val="000000"/>
          <w:sz w:val="28"/>
          <w:highlight w:val="none"/>
        </w:rPr>
        <w:t>委托他人修理</w:t>
      </w:r>
      <w:r>
        <w:rPr>
          <w:rFonts w:hint="eastAsia" w:ascii="仿宋" w:hAnsi="仿宋" w:eastAsia="仿宋"/>
          <w:color w:val="000000"/>
          <w:sz w:val="28"/>
          <w:highlight w:val="none"/>
        </w:rPr>
        <w:t>，因此产生的全部费用及损失由承包人承担。</w:t>
      </w:r>
    </w:p>
    <w:p w14:paraId="17EA442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4" w:firstLineChars="205"/>
        <w:textAlignment w:val="auto"/>
        <w:outlineLvl w:val="9"/>
        <w:rPr>
          <w:rFonts w:ascii="仿宋" w:hAnsi="仿宋" w:eastAsia="仿宋"/>
          <w:color w:val="000000"/>
          <w:sz w:val="28"/>
          <w:highlight w:val="none"/>
        </w:rPr>
      </w:pPr>
      <w:r>
        <w:rPr>
          <w:rFonts w:ascii="仿宋" w:hAnsi="仿宋" w:eastAsia="仿宋"/>
          <w:color w:val="000000"/>
          <w:sz w:val="28"/>
          <w:highlight w:val="none"/>
        </w:rPr>
        <w:t>2</w:t>
      </w:r>
      <w:r>
        <w:rPr>
          <w:rFonts w:hint="eastAsia" w:ascii="仿宋" w:hAnsi="仿宋" w:eastAsia="仿宋"/>
          <w:sz w:val="28"/>
          <w:highlight w:val="none"/>
        </w:rPr>
        <w:t>．</w:t>
      </w:r>
      <w:r>
        <w:rPr>
          <w:rFonts w:ascii="仿宋" w:hAnsi="仿宋" w:eastAsia="仿宋"/>
          <w:color w:val="000000"/>
          <w:sz w:val="28"/>
          <w:highlight w:val="none"/>
        </w:rPr>
        <w:t>发生紧急事故需抢修的，承包人在接到事故通知后，应当立即到达事故现场抢修</w:t>
      </w:r>
      <w:r>
        <w:rPr>
          <w:rFonts w:hint="eastAsia" w:ascii="仿宋" w:hAnsi="仿宋" w:eastAsia="仿宋"/>
          <w:color w:val="000000"/>
          <w:sz w:val="28"/>
          <w:highlight w:val="none"/>
        </w:rPr>
        <w:t>。如该等紧急事故系承包人原因造成，则因此产生的全部费用及损失由承包人承担。</w:t>
      </w:r>
    </w:p>
    <w:p w14:paraId="0E0ACE4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4" w:firstLineChars="205"/>
        <w:textAlignment w:val="auto"/>
        <w:outlineLvl w:val="9"/>
        <w:rPr>
          <w:rFonts w:ascii="仿宋" w:hAnsi="仿宋" w:eastAsia="仿宋"/>
          <w:color w:val="000000"/>
          <w:sz w:val="28"/>
          <w:highlight w:val="none"/>
        </w:rPr>
      </w:pPr>
      <w:r>
        <w:rPr>
          <w:rFonts w:ascii="仿宋" w:hAnsi="仿宋" w:eastAsia="仿宋"/>
          <w:color w:val="000000"/>
          <w:sz w:val="28"/>
          <w:highlight w:val="none"/>
        </w:rPr>
        <w:t>3</w:t>
      </w:r>
      <w:r>
        <w:rPr>
          <w:rFonts w:hint="eastAsia" w:ascii="仿宋" w:hAnsi="仿宋" w:eastAsia="仿宋"/>
          <w:sz w:val="28"/>
          <w:highlight w:val="none"/>
        </w:rPr>
        <w:t>．</w:t>
      </w:r>
      <w:r>
        <w:rPr>
          <w:rFonts w:ascii="仿宋" w:hAnsi="仿宋" w:eastAsia="仿宋"/>
          <w:color w:val="000000"/>
          <w:sz w:val="28"/>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r>
        <w:rPr>
          <w:rFonts w:hint="eastAsia" w:ascii="仿宋" w:hAnsi="仿宋" w:eastAsia="仿宋"/>
          <w:color w:val="000000"/>
          <w:sz w:val="28"/>
          <w:highlight w:val="none"/>
        </w:rPr>
        <w:t>。非因发包人引起的问题，因此产生的全部费用及损失由承包人承担。</w:t>
      </w:r>
      <w:r>
        <w:rPr>
          <w:rFonts w:ascii="仿宋" w:hAnsi="仿宋" w:eastAsia="仿宋"/>
          <w:color w:val="000000"/>
          <w:sz w:val="28"/>
          <w:highlight w:val="none"/>
        </w:rPr>
        <w:t xml:space="preserve"> </w:t>
      </w:r>
    </w:p>
    <w:p w14:paraId="01F9C01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sz w:val="28"/>
          <w:highlight w:val="none"/>
        </w:rPr>
      </w:pPr>
      <w:r>
        <w:rPr>
          <w:rFonts w:ascii="仿宋" w:hAnsi="仿宋" w:eastAsia="仿宋"/>
          <w:color w:val="000000"/>
          <w:sz w:val="28"/>
          <w:highlight w:val="none"/>
        </w:rPr>
        <w:t>4.如因承包人履行保修义务不及时、或存在故意、过失或疏忽等不尽责行为导致损失扩大的，不论造成质量缺陷的责任方为何，承包人均应就损失扩大部分承担全部赔偿责任。</w:t>
      </w:r>
    </w:p>
    <w:p w14:paraId="67ADD1A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4" w:firstLineChars="205"/>
        <w:textAlignment w:val="auto"/>
        <w:outlineLvl w:val="9"/>
        <w:rPr>
          <w:rFonts w:ascii="仿宋" w:hAnsi="仿宋" w:eastAsia="仿宋"/>
          <w:color w:val="000000"/>
          <w:sz w:val="28"/>
          <w:highlight w:val="none"/>
        </w:rPr>
      </w:pPr>
      <w:r>
        <w:rPr>
          <w:rFonts w:ascii="仿宋" w:hAnsi="仿宋" w:eastAsia="仿宋"/>
          <w:sz w:val="28"/>
          <w:highlight w:val="none"/>
        </w:rPr>
        <w:t>5.</w:t>
      </w:r>
      <w:r>
        <w:rPr>
          <w:rFonts w:ascii="仿宋" w:hAnsi="仿宋" w:eastAsia="仿宋"/>
          <w:color w:val="000000"/>
          <w:sz w:val="28"/>
          <w:highlight w:val="none"/>
        </w:rPr>
        <w:t>质量保修完成后，由发包人组织验收。</w:t>
      </w:r>
      <w:r>
        <w:rPr>
          <w:rFonts w:hint="eastAsia" w:ascii="仿宋" w:hAnsi="仿宋" w:eastAsia="仿宋"/>
          <w:color w:val="000000"/>
          <w:sz w:val="28"/>
          <w:highlight w:val="none"/>
        </w:rPr>
        <w:t>经发包人验收合格并达到合同约定的质量标准及使用条件后，承包人的保修义务履行完毕。但所维修项目如在六个月内再次出现同样缺陷的，仍然由专业承包人保修并承担相应费用。</w:t>
      </w:r>
    </w:p>
    <w:p w14:paraId="3C82F4C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6" w:firstLineChars="205"/>
        <w:textAlignment w:val="auto"/>
        <w:outlineLvl w:val="9"/>
        <w:rPr>
          <w:rFonts w:ascii="仿宋" w:hAnsi="仿宋" w:eastAsia="仿宋"/>
          <w:b/>
          <w:color w:val="000000"/>
          <w:sz w:val="28"/>
          <w:highlight w:val="none"/>
        </w:rPr>
      </w:pPr>
      <w:bookmarkStart w:id="834" w:name="_Toc20883"/>
      <w:r>
        <w:rPr>
          <w:rFonts w:hint="eastAsia" w:ascii="仿宋" w:hAnsi="仿宋" w:eastAsia="仿宋"/>
          <w:b/>
          <w:color w:val="000000"/>
          <w:sz w:val="28"/>
          <w:highlight w:val="none"/>
        </w:rPr>
        <w:t>五、质量保修金的支付</w:t>
      </w:r>
      <w:bookmarkEnd w:id="834"/>
    </w:p>
    <w:p w14:paraId="1B22CD9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4" w:firstLineChars="205"/>
        <w:textAlignment w:val="auto"/>
        <w:outlineLvl w:val="9"/>
        <w:rPr>
          <w:rFonts w:ascii="仿宋" w:hAnsi="仿宋" w:eastAsia="仿宋"/>
          <w:color w:val="000000"/>
          <w:sz w:val="28"/>
          <w:highlight w:val="none"/>
        </w:rPr>
      </w:pPr>
      <w:r>
        <w:rPr>
          <w:rFonts w:hint="eastAsia" w:ascii="仿宋" w:hAnsi="仿宋" w:eastAsia="仿宋"/>
          <w:color w:val="000000"/>
          <w:sz w:val="28"/>
          <w:highlight w:val="none"/>
        </w:rPr>
        <w:t>本工程的工程质量保修金为工程价款结算总额的</w:t>
      </w:r>
      <w:r>
        <w:rPr>
          <w:rFonts w:ascii="仿宋" w:hAnsi="仿宋" w:eastAsia="仿宋"/>
          <w:color w:val="000000"/>
          <w:sz w:val="28"/>
          <w:highlight w:val="none"/>
          <w:u w:val="single"/>
        </w:rPr>
        <w:t xml:space="preserve">    %</w:t>
      </w:r>
      <w:r>
        <w:rPr>
          <w:rFonts w:hint="eastAsia" w:ascii="仿宋" w:hAnsi="仿宋" w:eastAsia="仿宋"/>
          <w:color w:val="000000"/>
          <w:sz w:val="28"/>
          <w:highlight w:val="none"/>
        </w:rPr>
        <w:t>，发包人从结算价中扣留，质量保修金银行利率为：</w:t>
      </w:r>
      <w:r>
        <w:rPr>
          <w:rFonts w:ascii="仿宋" w:hAnsi="仿宋" w:eastAsia="仿宋"/>
          <w:color w:val="000000"/>
          <w:sz w:val="28"/>
          <w:highlight w:val="none"/>
          <w:u w:val="single"/>
        </w:rPr>
        <w:t xml:space="preserve">  零  </w:t>
      </w:r>
      <w:r>
        <w:rPr>
          <w:rFonts w:hint="eastAsia" w:ascii="仿宋" w:hAnsi="仿宋" w:eastAsia="仿宋"/>
          <w:color w:val="000000"/>
          <w:sz w:val="28"/>
          <w:highlight w:val="none"/>
          <w:u w:val="single"/>
        </w:rPr>
        <w:t>。</w:t>
      </w:r>
    </w:p>
    <w:p w14:paraId="25113A8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4" w:firstLineChars="205"/>
        <w:textAlignment w:val="auto"/>
        <w:outlineLvl w:val="9"/>
        <w:rPr>
          <w:rFonts w:ascii="仿宋" w:hAnsi="仿宋" w:eastAsia="仿宋"/>
          <w:color w:val="000000"/>
          <w:sz w:val="28"/>
          <w:highlight w:val="none"/>
        </w:rPr>
      </w:pPr>
      <w:r>
        <w:rPr>
          <w:rFonts w:hint="eastAsia" w:ascii="仿宋" w:hAnsi="仿宋" w:eastAsia="仿宋"/>
          <w:color w:val="000000"/>
          <w:sz w:val="28"/>
          <w:highlight w:val="none"/>
        </w:rPr>
        <w:t xml:space="preserve">发包人在工程质量验收满二年后第 </w:t>
      </w:r>
      <w:r>
        <w:rPr>
          <w:rFonts w:ascii="仿宋" w:hAnsi="仿宋" w:eastAsia="仿宋"/>
          <w:color w:val="000000"/>
          <w:sz w:val="28"/>
          <w:highlight w:val="none"/>
          <w:u w:val="single"/>
        </w:rPr>
        <w:t xml:space="preserve">14 </w:t>
      </w:r>
      <w:r>
        <w:rPr>
          <w:rFonts w:hint="eastAsia" w:ascii="仿宋" w:hAnsi="仿宋" w:eastAsia="仿宋"/>
          <w:color w:val="000000"/>
          <w:sz w:val="28"/>
          <w:highlight w:val="none"/>
        </w:rPr>
        <w:t>天内，将剩余保修金返还给承包人，但并不免除承包人在保修期内的保修责任。</w:t>
      </w:r>
    </w:p>
    <w:p w14:paraId="62676DF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b/>
          <w:color w:val="000000"/>
          <w:sz w:val="28"/>
          <w:highlight w:val="none"/>
        </w:rPr>
      </w:pPr>
      <w:r>
        <w:rPr>
          <w:rFonts w:ascii="仿宋" w:hAnsi="仿宋" w:eastAsia="仿宋"/>
          <w:b/>
          <w:color w:val="000000"/>
          <w:sz w:val="28"/>
          <w:highlight w:val="none"/>
        </w:rPr>
        <w:t>　　</w:t>
      </w:r>
      <w:bookmarkStart w:id="835" w:name="_Toc3257"/>
      <w:r>
        <w:rPr>
          <w:rFonts w:hint="eastAsia" w:ascii="仿宋" w:hAnsi="仿宋" w:eastAsia="仿宋"/>
          <w:b/>
          <w:color w:val="000000"/>
          <w:sz w:val="28"/>
          <w:highlight w:val="none"/>
        </w:rPr>
        <w:t>六</w:t>
      </w:r>
      <w:r>
        <w:rPr>
          <w:rFonts w:ascii="仿宋" w:hAnsi="仿宋" w:eastAsia="仿宋"/>
          <w:b/>
          <w:color w:val="000000"/>
          <w:sz w:val="28"/>
          <w:highlight w:val="none"/>
        </w:rPr>
        <w:t>、保修费用</w:t>
      </w:r>
      <w:bookmarkEnd w:id="835"/>
    </w:p>
    <w:p w14:paraId="2B836B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rPr>
      </w:pPr>
      <w:r>
        <w:rPr>
          <w:rFonts w:ascii="仿宋" w:hAnsi="仿宋" w:eastAsia="仿宋"/>
          <w:color w:val="000000"/>
          <w:sz w:val="28"/>
          <w:highlight w:val="none"/>
        </w:rPr>
        <w:t>　　保修费用由造成质量缺陷的责任方承担</w:t>
      </w:r>
      <w:r>
        <w:rPr>
          <w:rFonts w:hint="eastAsia" w:ascii="仿宋" w:hAnsi="仿宋" w:eastAsia="仿宋"/>
          <w:color w:val="000000"/>
          <w:sz w:val="28"/>
          <w:highlight w:val="none"/>
        </w:rPr>
        <w:t>，但优先适用本保修书第四条约定。</w:t>
      </w:r>
    </w:p>
    <w:p w14:paraId="25FB65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left"/>
        <w:textAlignment w:val="auto"/>
        <w:outlineLvl w:val="9"/>
        <w:rPr>
          <w:rFonts w:ascii="仿宋" w:hAnsi="仿宋" w:eastAsia="仿宋"/>
          <w:color w:val="000000"/>
          <w:sz w:val="28"/>
          <w:highlight w:val="none"/>
          <w:u w:val="single"/>
        </w:rPr>
      </w:pPr>
      <w:bookmarkStart w:id="836" w:name="_Toc14727"/>
      <w:r>
        <w:rPr>
          <w:rFonts w:hint="eastAsia" w:ascii="仿宋" w:hAnsi="仿宋" w:eastAsia="仿宋"/>
          <w:b/>
          <w:color w:val="000000"/>
          <w:sz w:val="28"/>
          <w:highlight w:val="none"/>
        </w:rPr>
        <w:t>七</w:t>
      </w:r>
      <w:r>
        <w:rPr>
          <w:rFonts w:ascii="仿宋" w:hAnsi="仿宋" w:eastAsia="仿宋"/>
          <w:b/>
          <w:color w:val="000000"/>
          <w:sz w:val="28"/>
          <w:highlight w:val="none"/>
        </w:rPr>
        <w:t>、双方约定的其他工程质量保修事项</w:t>
      </w:r>
      <w:r>
        <w:rPr>
          <w:rFonts w:ascii="仿宋" w:hAnsi="仿宋" w:eastAsia="仿宋"/>
          <w:color w:val="000000"/>
          <w:sz w:val="28"/>
          <w:highlight w:val="none"/>
        </w:rPr>
        <w:t>：</w:t>
      </w:r>
      <w:bookmarkEnd w:id="836"/>
      <w:r>
        <w:rPr>
          <w:rFonts w:ascii="仿宋" w:hAnsi="仿宋" w:eastAsia="仿宋"/>
          <w:color w:val="000000"/>
          <w:sz w:val="28"/>
          <w:highlight w:val="none"/>
          <w:u w:val="single"/>
        </w:rPr>
        <w:t xml:space="preserve">                  </w:t>
      </w:r>
    </w:p>
    <w:p w14:paraId="1FE60AF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仿宋" w:hAnsi="仿宋" w:eastAsia="仿宋"/>
          <w:color w:val="000000"/>
          <w:sz w:val="28"/>
          <w:highlight w:val="none"/>
        </w:rPr>
      </w:pPr>
      <w:r>
        <w:rPr>
          <w:rFonts w:ascii="仿宋" w:hAnsi="仿宋" w:eastAsia="仿宋"/>
          <w:color w:val="000000"/>
          <w:sz w:val="28"/>
          <w:highlight w:val="none"/>
          <w:u w:val="single"/>
        </w:rPr>
        <w:t xml:space="preserve">                                                                                                                   </w:t>
      </w:r>
      <w:r>
        <w:rPr>
          <w:rFonts w:ascii="仿宋" w:hAnsi="仿宋" w:eastAsia="仿宋"/>
          <w:color w:val="000000"/>
          <w:sz w:val="28"/>
          <w:highlight w:val="none"/>
        </w:rPr>
        <w:t>。</w:t>
      </w:r>
    </w:p>
    <w:p w14:paraId="0CC9B3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0"/>
        <w:textAlignment w:val="auto"/>
        <w:outlineLvl w:val="9"/>
        <w:rPr>
          <w:rFonts w:ascii="仿宋" w:hAnsi="仿宋" w:eastAsia="仿宋"/>
          <w:color w:val="000000"/>
          <w:sz w:val="28"/>
          <w:highlight w:val="none"/>
        </w:rPr>
      </w:pPr>
      <w:r>
        <w:rPr>
          <w:rFonts w:hint="eastAsia" w:ascii="仿宋" w:hAnsi="仿宋" w:eastAsia="仿宋"/>
          <w:color w:val="000000"/>
          <w:sz w:val="28"/>
          <w:highlight w:val="none"/>
        </w:rPr>
        <w:t>本《工程质量保修书》作为施工合同附件由发包人承包人双方共同签署。</w:t>
      </w:r>
    </w:p>
    <w:p w14:paraId="2F4CEEB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0"/>
        <w:textAlignment w:val="auto"/>
        <w:outlineLvl w:val="9"/>
        <w:rPr>
          <w:rFonts w:ascii="仿宋" w:hAnsi="仿宋" w:eastAsia="仿宋"/>
          <w:color w:val="000000"/>
          <w:sz w:val="28"/>
          <w:highlight w:val="none"/>
        </w:rPr>
      </w:pPr>
    </w:p>
    <w:p w14:paraId="12FDEB0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rPr>
      </w:pPr>
      <w:r>
        <w:rPr>
          <w:rFonts w:ascii="仿宋" w:hAnsi="仿宋" w:eastAsia="仿宋"/>
          <w:color w:val="000000"/>
          <w:sz w:val="28"/>
          <w:highlight w:val="none"/>
        </w:rPr>
        <w:t>发包人(公章)：</w:t>
      </w:r>
      <w:r>
        <w:rPr>
          <w:rFonts w:ascii="仿宋" w:hAnsi="仿宋" w:eastAsia="仿宋"/>
          <w:color w:val="000000"/>
          <w:sz w:val="28"/>
          <w:highlight w:val="none"/>
          <w:u w:val="single"/>
        </w:rPr>
        <w:t xml:space="preserve">        </w:t>
      </w:r>
      <w:r>
        <w:rPr>
          <w:rFonts w:ascii="仿宋" w:hAnsi="仿宋" w:eastAsia="仿宋"/>
          <w:color w:val="000000"/>
          <w:sz w:val="28"/>
          <w:highlight w:val="none"/>
        </w:rPr>
        <w:t xml:space="preserve"> 承包人(</w:t>
      </w:r>
      <w:r>
        <w:rPr>
          <w:rFonts w:hint="eastAsia" w:ascii="仿宋" w:hAnsi="仿宋" w:eastAsia="仿宋"/>
          <w:color w:val="000000"/>
          <w:sz w:val="28"/>
          <w:highlight w:val="none"/>
        </w:rPr>
        <w:t>公</w:t>
      </w:r>
      <w:r>
        <w:rPr>
          <w:rFonts w:ascii="仿宋" w:hAnsi="仿宋" w:eastAsia="仿宋"/>
          <w:color w:val="000000"/>
          <w:sz w:val="28"/>
          <w:highlight w:val="none"/>
        </w:rPr>
        <w:t>章)：</w:t>
      </w:r>
      <w:r>
        <w:rPr>
          <w:rFonts w:ascii="仿宋" w:hAnsi="仿宋" w:eastAsia="仿宋"/>
          <w:color w:val="000000"/>
          <w:sz w:val="28"/>
          <w:highlight w:val="none"/>
          <w:u w:val="single"/>
        </w:rPr>
        <w:t xml:space="preserve">           </w:t>
      </w:r>
    </w:p>
    <w:p w14:paraId="4053A5F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rPr>
      </w:pPr>
      <w:r>
        <w:rPr>
          <w:rFonts w:ascii="仿宋" w:hAnsi="仿宋" w:eastAsia="仿宋"/>
          <w:color w:val="000000"/>
          <w:sz w:val="28"/>
          <w:highlight w:val="none"/>
        </w:rPr>
        <w:t>法定代表人(签署)：</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法定代表人(签署)：</w:t>
      </w:r>
      <w:r>
        <w:rPr>
          <w:rFonts w:ascii="仿宋" w:hAnsi="仿宋" w:eastAsia="仿宋"/>
          <w:color w:val="000000"/>
          <w:sz w:val="28"/>
          <w:highlight w:val="none"/>
          <w:u w:val="single"/>
        </w:rPr>
        <w:t xml:space="preserve">       </w:t>
      </w:r>
    </w:p>
    <w:p w14:paraId="13F7093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olor w:val="000000"/>
          <w:sz w:val="28"/>
          <w:highlight w:val="none"/>
          <w:u w:val="single"/>
        </w:rPr>
      </w:pPr>
      <w:r>
        <w:rPr>
          <w:rFonts w:ascii="仿宋" w:hAnsi="仿宋" w:eastAsia="仿宋"/>
          <w:color w:val="000000"/>
          <w:sz w:val="28"/>
          <w:highlight w:val="none"/>
        </w:rPr>
        <w:t>委托代理人(签署)：</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委托代理人(签署)：</w:t>
      </w:r>
      <w:r>
        <w:rPr>
          <w:rFonts w:ascii="仿宋" w:hAnsi="仿宋" w:eastAsia="仿宋"/>
          <w:color w:val="000000"/>
          <w:sz w:val="28"/>
          <w:highlight w:val="none"/>
          <w:u w:val="single"/>
        </w:rPr>
        <w:t xml:space="preserve">       </w:t>
      </w:r>
    </w:p>
    <w:p w14:paraId="2FE991D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outlineLvl w:val="9"/>
        <w:rPr>
          <w:rFonts w:ascii="仿宋" w:hAnsi="仿宋" w:eastAsia="仿宋"/>
          <w:color w:val="000000"/>
          <w:sz w:val="28"/>
          <w:highlight w:val="none"/>
        </w:rPr>
      </w:pPr>
      <w:r>
        <w:rPr>
          <w:rFonts w:hint="eastAsia" w:ascii="仿宋" w:hAnsi="仿宋" w:eastAsia="仿宋"/>
          <w:color w:val="000000"/>
          <w:sz w:val="28"/>
          <w:highlight w:val="none"/>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rPr>
        <w:t>年    月    日</w:t>
      </w:r>
      <w:r>
        <w:rPr>
          <w:rFonts w:ascii="仿宋" w:hAnsi="仿宋" w:eastAsia="仿宋"/>
          <w:color w:val="000000"/>
          <w:sz w:val="28"/>
          <w:highlight w:val="none"/>
        </w:rPr>
        <w:tab/>
      </w:r>
      <w:r>
        <w:rPr>
          <w:rFonts w:ascii="仿宋" w:hAnsi="仿宋" w:eastAsia="仿宋"/>
          <w:color w:val="000000"/>
          <w:sz w:val="28"/>
          <w:highlight w:val="none"/>
        </w:rPr>
        <w:tab/>
      </w:r>
      <w:r>
        <w:rPr>
          <w:rFonts w:ascii="仿宋" w:hAnsi="仿宋" w:eastAsia="仿宋"/>
          <w:color w:val="000000"/>
          <w:sz w:val="28"/>
          <w:highlight w:val="none"/>
        </w:rPr>
        <w:tab/>
      </w:r>
      <w:r>
        <w:rPr>
          <w:rFonts w:ascii="仿宋" w:hAnsi="仿宋" w:eastAsia="仿宋"/>
          <w:color w:val="000000"/>
          <w:sz w:val="28"/>
          <w:highlight w:val="none"/>
        </w:rPr>
        <w:tab/>
      </w:r>
      <w:r>
        <w:rPr>
          <w:rFonts w:ascii="仿宋" w:hAnsi="仿宋" w:eastAsia="仿宋"/>
          <w:color w:val="000000"/>
          <w:sz w:val="28"/>
          <w:highlight w:val="none"/>
        </w:rPr>
        <w:tab/>
      </w:r>
      <w:r>
        <w:rPr>
          <w:rFonts w:hint="eastAsia" w:ascii="仿宋" w:hAnsi="仿宋" w:eastAsia="仿宋"/>
          <w:color w:val="000000"/>
          <w:sz w:val="28"/>
          <w:highlight w:val="none"/>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rPr>
        <w:t>年    月    日</w:t>
      </w:r>
    </w:p>
    <w:p w14:paraId="0FD3851A">
      <w:pPr>
        <w:rPr>
          <w:highlight w:val="none"/>
        </w:rPr>
      </w:pPr>
      <w:r>
        <w:rPr>
          <w:highlight w:val="none"/>
        </w:rPr>
        <w:br w:type="page"/>
      </w:r>
    </w:p>
    <w:p w14:paraId="12594F2D">
      <w:pPr>
        <w:pStyle w:val="3"/>
      </w:pPr>
    </w:p>
    <w:p w14:paraId="360830BA">
      <w:pPr>
        <w:keepNext/>
        <w:keepLines/>
        <w:spacing w:before="340" w:after="60" w:afterLines="25" w:line="360"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62B7432C">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bookmarkStart w:id="837" w:name="_Hlk72399513"/>
      <w:r>
        <w:rPr>
          <w:rFonts w:hint="eastAsia" w:asciiTheme="majorHAnsi" w:hAnsiTheme="majorHAnsi" w:eastAsiaTheme="majorEastAsia" w:cstheme="majorBidi"/>
          <w:b/>
          <w:bCs/>
          <w:sz w:val="28"/>
          <w:szCs w:val="28"/>
        </w:rPr>
        <w:t>总则</w:t>
      </w:r>
      <w:bookmarkEnd w:id="837"/>
    </w:p>
    <w:p w14:paraId="307C2DA6">
      <w:pPr>
        <w:spacing w:line="360" w:lineRule="auto"/>
        <w:rPr>
          <w:rFonts w:ascii="黑体" w:hAnsi="宋体" w:eastAsia="黑体"/>
        </w:rPr>
      </w:pPr>
      <w:r>
        <w:rPr>
          <w:rFonts w:hint="eastAsia" w:ascii="黑体" w:hAnsi="宋体" w:eastAsia="黑体"/>
        </w:rPr>
        <w:t>1. 通用条款说明</w:t>
      </w:r>
    </w:p>
    <w:p w14:paraId="601A5A2D">
      <w:pPr>
        <w:spacing w:line="360" w:lineRule="auto"/>
        <w:ind w:firstLine="470" w:firstLineChars="196"/>
        <w:rPr>
          <w:rFonts w:ascii="宋体" w:hAnsi="宋体" w:eastAsia="宋体"/>
          <w:szCs w:val="21"/>
        </w:rPr>
      </w:pPr>
      <w:r>
        <w:rPr>
          <w:rFonts w:hint="eastAsia" w:ascii="宋体" w:hAnsi="宋体" w:eastAsia="宋体"/>
          <w:szCs w:val="21"/>
        </w:rPr>
        <w:t>1.1招标代理机构发出招标文件通用条款版本，列出深圳市政府采购项目进行招标采购所适用的通用条款内容。</w:t>
      </w:r>
      <w:bookmarkStart w:id="838" w:name="_Hlk72399729"/>
      <w:r>
        <w:rPr>
          <w:rFonts w:hint="eastAsia" w:ascii="宋体" w:hAnsi="宋体" w:eastAsia="宋体"/>
          <w:szCs w:val="21"/>
        </w:rPr>
        <w:t>如有需要，招标代理机构可以对通用条款的内容进行补充。</w:t>
      </w:r>
      <w:bookmarkEnd w:id="838"/>
    </w:p>
    <w:p w14:paraId="0228311E">
      <w:pPr>
        <w:spacing w:line="360" w:lineRule="auto"/>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484113DD">
      <w:pPr>
        <w:spacing w:line="360" w:lineRule="auto"/>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2650B1B">
      <w:pPr>
        <w:spacing w:line="360" w:lineRule="auto"/>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4E5A0286">
      <w:pPr>
        <w:spacing w:line="360" w:lineRule="auto"/>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0A4574CE">
      <w:pPr>
        <w:spacing w:line="360" w:lineRule="auto"/>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72B956F4">
      <w:pPr>
        <w:spacing w:line="360" w:lineRule="auto"/>
        <w:ind w:firstLine="470" w:firstLineChars="196"/>
        <w:rPr>
          <w:rFonts w:ascii="宋体" w:hAnsi="宋体" w:eastAsia="宋体"/>
          <w:szCs w:val="21"/>
        </w:rPr>
      </w:pPr>
      <w:r>
        <w:rPr>
          <w:rFonts w:hint="eastAsia" w:ascii="宋体" w:hAnsi="宋体" w:eastAsia="宋体"/>
          <w:szCs w:val="21"/>
        </w:rPr>
        <w:t>本项目按照《深圳经济特区政府采购条例》、《深圳经济特区政府采购条例实施细则》及政府采购其他法律法规，通过公开招标方式确定中标供应商。</w:t>
      </w:r>
    </w:p>
    <w:p w14:paraId="31300702">
      <w:pPr>
        <w:spacing w:line="360" w:lineRule="auto"/>
        <w:rPr>
          <w:rFonts w:ascii="黑体" w:hAnsi="宋体" w:eastAsia="黑体"/>
        </w:rPr>
      </w:pPr>
      <w:r>
        <w:rPr>
          <w:rFonts w:hint="eastAsia" w:ascii="黑体" w:hAnsi="宋体" w:eastAsia="黑体"/>
        </w:rPr>
        <w:t>3．定义</w:t>
      </w:r>
    </w:p>
    <w:p w14:paraId="36878846">
      <w:pPr>
        <w:spacing w:line="360" w:lineRule="auto"/>
        <w:ind w:firstLine="480" w:firstLineChars="200"/>
        <w:rPr>
          <w:rFonts w:ascii="宋体" w:hAnsi="宋体" w:eastAsia="宋体"/>
          <w:szCs w:val="21"/>
        </w:rPr>
      </w:pPr>
      <w:r>
        <w:rPr>
          <w:rFonts w:ascii="宋体" w:hAnsi="宋体" w:eastAsia="宋体"/>
          <w:szCs w:val="21"/>
        </w:rPr>
        <w:t>招标文件中下列术语应解释为：</w:t>
      </w:r>
    </w:p>
    <w:p w14:paraId="16882D93">
      <w:pPr>
        <w:spacing w:line="360" w:lineRule="auto"/>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56BD770B">
      <w:pPr>
        <w:spacing w:line="360" w:lineRule="auto"/>
        <w:ind w:firstLine="470" w:firstLineChars="196"/>
        <w:rPr>
          <w:rFonts w:ascii="宋体" w:hAnsi="宋体" w:eastAsia="宋体"/>
          <w:szCs w:val="21"/>
        </w:rPr>
      </w:pPr>
      <w:r>
        <w:rPr>
          <w:rFonts w:hint="eastAsia" w:ascii="宋体" w:hAnsi="宋体" w:eastAsia="宋体"/>
          <w:szCs w:val="21"/>
        </w:rPr>
        <w:t>3.2“招标代理机构”</w:t>
      </w:r>
      <w:r>
        <w:rPr>
          <w:rFonts w:ascii="宋体" w:hAnsi="宋体"/>
          <w:color w:val="000000"/>
          <w:szCs w:val="21"/>
        </w:rPr>
        <w:t xml:space="preserve"> 指依法</w:t>
      </w:r>
      <w:r>
        <w:rPr>
          <w:rFonts w:hint="eastAsia" w:ascii="宋体" w:hAnsi="宋体"/>
          <w:color w:val="000000"/>
          <w:szCs w:val="21"/>
        </w:rPr>
        <w:t>设立</w:t>
      </w:r>
      <w:r>
        <w:rPr>
          <w:rFonts w:ascii="宋体" w:hAnsi="宋体"/>
          <w:color w:val="000000"/>
          <w:szCs w:val="21"/>
        </w:rPr>
        <w:t>、从事招标代理业务并提供相关服务的专门机构。本</w:t>
      </w:r>
      <w:r>
        <w:rPr>
          <w:rFonts w:hint="eastAsia" w:ascii="宋体" w:hAnsi="宋体"/>
          <w:color w:val="000000"/>
          <w:szCs w:val="21"/>
        </w:rPr>
        <w:t>次</w:t>
      </w:r>
      <w:r>
        <w:rPr>
          <w:rFonts w:ascii="宋体" w:hAnsi="宋体"/>
          <w:color w:val="000000"/>
          <w:szCs w:val="21"/>
        </w:rPr>
        <w:t>招</w:t>
      </w:r>
      <w:r>
        <w:rPr>
          <w:rFonts w:hint="eastAsia" w:ascii="宋体" w:hAnsi="宋体"/>
          <w:color w:val="000000"/>
          <w:szCs w:val="21"/>
        </w:rPr>
        <w:t>标</w:t>
      </w:r>
      <w:r>
        <w:rPr>
          <w:rFonts w:ascii="宋体" w:hAnsi="宋体"/>
          <w:color w:val="000000"/>
          <w:szCs w:val="21"/>
        </w:rPr>
        <w:t>的招标</w:t>
      </w:r>
      <w:r>
        <w:rPr>
          <w:rFonts w:hint="eastAsia" w:ascii="宋体" w:hAnsi="宋体"/>
          <w:color w:val="000000"/>
          <w:szCs w:val="21"/>
        </w:rPr>
        <w:t>代理</w:t>
      </w:r>
      <w:r>
        <w:rPr>
          <w:rFonts w:ascii="宋体" w:hAnsi="宋体"/>
          <w:color w:val="000000"/>
          <w:szCs w:val="21"/>
        </w:rPr>
        <w:t>机构特指</w:t>
      </w:r>
      <w:r>
        <w:rPr>
          <w:rFonts w:hint="eastAsia" w:ascii="宋体" w:hAnsi="宋体"/>
          <w:color w:val="000000"/>
          <w:szCs w:val="21"/>
        </w:rPr>
        <w:t>“深圳高星项目管理有限公司</w:t>
      </w:r>
      <w:r>
        <w:rPr>
          <w:rFonts w:ascii="宋体" w:hAnsi="宋体"/>
          <w:color w:val="000000"/>
          <w:szCs w:val="21"/>
        </w:rPr>
        <w:t>”。</w:t>
      </w:r>
    </w:p>
    <w:p w14:paraId="00DE86E2">
      <w:pPr>
        <w:spacing w:line="360" w:lineRule="auto"/>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64D5AA3A">
      <w:pPr>
        <w:spacing w:line="360" w:lineRule="auto"/>
        <w:ind w:firstLine="470" w:firstLineChars="196"/>
        <w:rPr>
          <w:rFonts w:ascii="宋体" w:hAnsi="宋体" w:eastAsia="宋体"/>
          <w:szCs w:val="21"/>
        </w:rPr>
      </w:pPr>
      <w:r>
        <w:rPr>
          <w:rFonts w:hint="eastAsia" w:ascii="宋体" w:hAnsi="宋体" w:eastAsia="宋体"/>
          <w:szCs w:val="21"/>
        </w:rPr>
        <w:t>3.4“评审委员会”是依据《深圳经济特区政府采购条例》、《深圳经济特区政府采购条例实施细则》等有关规定组建的专门负责本次招标评审工作的临时性机构；</w:t>
      </w:r>
    </w:p>
    <w:p w14:paraId="495A52B3">
      <w:pPr>
        <w:spacing w:line="360" w:lineRule="auto"/>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91D6F32">
      <w:pPr>
        <w:spacing w:line="360" w:lineRule="auto"/>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07CCDE6C">
      <w:pPr>
        <w:spacing w:line="360" w:lineRule="auto"/>
        <w:ind w:firstLine="470" w:firstLineChars="196"/>
        <w:rPr>
          <w:rFonts w:ascii="宋体" w:hAnsi="宋体" w:eastAsia="宋体"/>
          <w:szCs w:val="21"/>
        </w:rPr>
      </w:pPr>
      <w:r>
        <w:rPr>
          <w:rFonts w:hint="eastAsia" w:ascii="宋体" w:hAnsi="宋体" w:eastAsia="宋体"/>
          <w:szCs w:val="21"/>
        </w:rPr>
        <w:t>3.7招标文件中的标题或题名仅起引导作用，而不应视为对招标文件内容的理解和解释。</w:t>
      </w:r>
    </w:p>
    <w:p w14:paraId="3598EC27">
      <w:pPr>
        <w:spacing w:line="360" w:lineRule="auto"/>
        <w:rPr>
          <w:rFonts w:ascii="黑体" w:hAnsi="宋体" w:eastAsia="黑体"/>
        </w:rPr>
      </w:pPr>
      <w:r>
        <w:rPr>
          <w:rFonts w:hint="eastAsia" w:ascii="黑体" w:hAnsi="宋体" w:eastAsia="黑体"/>
        </w:rPr>
        <w:t xml:space="preserve">4. </w:t>
      </w:r>
      <w:bookmarkStart w:id="839" w:name="_Hlk72398643"/>
      <w:r>
        <w:rPr>
          <w:rFonts w:hint="eastAsia" w:ascii="黑体" w:hAnsi="宋体" w:eastAsia="黑体"/>
        </w:rPr>
        <w:t>政府采购供应商责任</w:t>
      </w:r>
    </w:p>
    <w:p w14:paraId="439AB460">
      <w:pPr>
        <w:spacing w:line="360" w:lineRule="auto"/>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4F2A4F10">
      <w:pPr>
        <w:spacing w:line="360" w:lineRule="auto"/>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3F83DC47">
      <w:pPr>
        <w:spacing w:line="360" w:lineRule="auto"/>
        <w:rPr>
          <w:rFonts w:ascii="黑体" w:hAnsi="宋体" w:eastAsia="黑体"/>
        </w:rPr>
      </w:pPr>
      <w:r>
        <w:rPr>
          <w:rFonts w:hint="eastAsia" w:ascii="黑体" w:hAnsi="宋体" w:eastAsia="黑体"/>
        </w:rPr>
        <w:t>5．投标人参加政府采购的条件</w:t>
      </w:r>
    </w:p>
    <w:p w14:paraId="23C615DB">
      <w:pPr>
        <w:spacing w:line="360" w:lineRule="auto"/>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b/>
          <w:bCs/>
          <w:szCs w:val="21"/>
        </w:rPr>
        <w:t>深圳公共资源交易中心（具体在深圳交易集团有限公司政府采购业务分公司进行办理）</w:t>
      </w:r>
      <w:r>
        <w:rPr>
          <w:rFonts w:hint="eastAsia" w:ascii="宋体" w:hAnsi="宋体" w:eastAsia="宋体"/>
          <w:szCs w:val="21"/>
        </w:rPr>
        <w:t>进行注册并办理电子密钥。《</w:t>
      </w:r>
      <w:r>
        <w:fldChar w:fldCharType="begin"/>
      </w:r>
      <w:r>
        <w:instrText xml:space="preserve"> HYPERLINK "http://www.szzfcg.cn/viewer.do?id=2455258" </w:instrText>
      </w:r>
      <w:r>
        <w:fldChar w:fldCharType="separate"/>
      </w:r>
      <w:r>
        <w:rPr>
          <w:rFonts w:ascii="宋体" w:hAnsi="宋体" w:eastAsia="宋体"/>
          <w:szCs w:val="21"/>
        </w:rPr>
        <w:t>供应商注册及电子密钥新申请指引</w:t>
      </w:r>
      <w:r>
        <w:fldChar w:fldCharType="end"/>
      </w:r>
      <w:r>
        <w:rPr>
          <w:rFonts w:hint="eastAsia" w:ascii="宋体" w:hAnsi="宋体" w:eastAsia="宋体"/>
          <w:szCs w:val="21"/>
        </w:rPr>
        <w:t>》详见</w:t>
      </w:r>
      <w:r>
        <w:rPr>
          <w:rFonts w:eastAsia="宋体"/>
          <w:b/>
        </w:rPr>
        <w:t>www.szggzy.com</w:t>
      </w:r>
      <w:r>
        <w:rPr>
          <w:rFonts w:hint="eastAsia" w:ascii="宋体" w:hAnsi="宋体" w:eastAsia="宋体"/>
          <w:szCs w:val="21"/>
        </w:rPr>
        <w:t>网站“服务导航-政府采购-办事指南”。</w:t>
      </w:r>
    </w:p>
    <w:p w14:paraId="1273ECA2">
      <w:pPr>
        <w:spacing w:line="360" w:lineRule="auto"/>
        <w:ind w:firstLine="470" w:firstLineChars="196"/>
        <w:rPr>
          <w:rFonts w:ascii="宋体" w:hAnsi="宋体" w:eastAsia="宋体"/>
          <w:szCs w:val="21"/>
        </w:rPr>
      </w:pPr>
      <w:r>
        <w:rPr>
          <w:rFonts w:hint="eastAsia" w:ascii="宋体" w:hAnsi="宋体" w:eastAsia="宋体"/>
          <w:szCs w:val="21"/>
        </w:rPr>
        <w:t>5.2投标人资格要求</w:t>
      </w:r>
    </w:p>
    <w:p w14:paraId="126BC44B">
      <w:pPr>
        <w:spacing w:line="360" w:lineRule="auto"/>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27BC287F">
      <w:pPr>
        <w:spacing w:line="360" w:lineRule="auto"/>
        <w:ind w:firstLine="470" w:firstLineChars="196"/>
        <w:rPr>
          <w:rFonts w:ascii="宋体" w:hAnsi="宋体" w:eastAsia="宋体"/>
          <w:szCs w:val="21"/>
        </w:rPr>
      </w:pPr>
      <w:r>
        <w:rPr>
          <w:rFonts w:hint="eastAsia" w:ascii="宋体" w:hAnsi="宋体" w:eastAsia="宋体"/>
          <w:szCs w:val="21"/>
        </w:rPr>
        <w:t>5.3联合体投标</w:t>
      </w:r>
    </w:p>
    <w:p w14:paraId="58886170">
      <w:pPr>
        <w:spacing w:line="360" w:lineRule="auto"/>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0501A0F">
      <w:pPr>
        <w:spacing w:line="360" w:lineRule="auto"/>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3A106052">
      <w:pPr>
        <w:spacing w:line="360" w:lineRule="auto"/>
        <w:ind w:firstLine="470" w:firstLineChars="196"/>
        <w:rPr>
          <w:rFonts w:ascii="宋体" w:hAnsi="宋体" w:eastAsia="宋体"/>
        </w:rPr>
      </w:pPr>
      <w:r>
        <w:rPr>
          <w:rFonts w:hint="eastAsia" w:ascii="宋体" w:hAnsi="宋体" w:eastAsia="宋体"/>
        </w:rPr>
        <w:t>（1）投标联合体各方参加政府采购活动应当具备下列条件：</w:t>
      </w:r>
    </w:p>
    <w:p w14:paraId="28339E1F">
      <w:pPr>
        <w:spacing w:line="360" w:lineRule="auto"/>
        <w:ind w:left="480" w:leftChars="200" w:firstLine="470" w:firstLineChars="196"/>
        <w:rPr>
          <w:rFonts w:ascii="宋体" w:hAnsi="宋体" w:eastAsia="宋体"/>
        </w:rPr>
      </w:pPr>
      <w:r>
        <w:rPr>
          <w:rFonts w:hint="eastAsia" w:ascii="宋体" w:hAnsi="宋体" w:eastAsia="宋体"/>
        </w:rPr>
        <w:t>1、具有独立承担民事责任的能力；</w:t>
      </w:r>
    </w:p>
    <w:p w14:paraId="646C3EDE">
      <w:pPr>
        <w:spacing w:line="360" w:lineRule="auto"/>
        <w:ind w:left="420" w:firstLine="470" w:firstLineChars="196"/>
        <w:rPr>
          <w:rFonts w:ascii="宋体" w:hAnsi="宋体" w:eastAsia="宋体"/>
        </w:rPr>
      </w:pPr>
      <w:r>
        <w:rPr>
          <w:rFonts w:hint="eastAsia" w:ascii="宋体" w:hAnsi="宋体" w:eastAsia="宋体"/>
        </w:rPr>
        <w:t>2、有良好的商业信誉和健全的财务会计制度；</w:t>
      </w:r>
    </w:p>
    <w:p w14:paraId="539AF312">
      <w:pPr>
        <w:spacing w:line="360" w:lineRule="auto"/>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1D25D891">
      <w:pPr>
        <w:spacing w:line="360" w:lineRule="auto"/>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CDF8B79">
      <w:pPr>
        <w:spacing w:line="360" w:lineRule="auto"/>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575CECC0">
      <w:pPr>
        <w:spacing w:line="360" w:lineRule="auto"/>
        <w:ind w:left="480" w:leftChars="200" w:firstLine="470" w:firstLineChars="196"/>
        <w:rPr>
          <w:rFonts w:ascii="宋体" w:hAnsi="宋体" w:eastAsia="宋体"/>
        </w:rPr>
      </w:pPr>
      <w:r>
        <w:rPr>
          <w:rFonts w:hint="eastAsia" w:ascii="宋体" w:hAnsi="宋体" w:eastAsia="宋体"/>
        </w:rPr>
        <w:t>6、法律、行政法规规定的其他条件。</w:t>
      </w:r>
    </w:p>
    <w:p w14:paraId="674EC410">
      <w:pPr>
        <w:spacing w:line="360" w:lineRule="auto"/>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b/>
          <w:bCs/>
          <w:szCs w:val="21"/>
        </w:rPr>
        <w:t>深圳公共资源交易中心（具体在深圳交易集团有限公司政府采购业务分公司进行办理）</w:t>
      </w:r>
      <w:r>
        <w:rPr>
          <w:rFonts w:hint="eastAsia" w:ascii="宋体" w:hAnsi="宋体" w:eastAsia="宋体"/>
        </w:rPr>
        <w:t>供应商；</w:t>
      </w:r>
    </w:p>
    <w:p w14:paraId="1131EAD1">
      <w:pPr>
        <w:spacing w:line="360" w:lineRule="auto"/>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1ECCEA1A">
      <w:pPr>
        <w:spacing w:line="360" w:lineRule="auto"/>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208015CA">
      <w:pPr>
        <w:spacing w:line="360" w:lineRule="auto"/>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007D1EF5">
      <w:pPr>
        <w:spacing w:line="360" w:lineRule="auto"/>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（6）联合体各方应当签订联合体投标协议，明确约定各方拟承担的工作和责任，并将该协议随投标文件一并递交给招标代理机构；</w:t>
      </w:r>
    </w:p>
    <w:p w14:paraId="03C80E96">
      <w:pPr>
        <w:spacing w:line="360" w:lineRule="auto"/>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03681B8E">
      <w:pPr>
        <w:spacing w:line="360" w:lineRule="auto"/>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9D145AC">
      <w:pPr>
        <w:spacing w:line="360" w:lineRule="auto"/>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081C49AB">
      <w:pPr>
        <w:spacing w:line="360" w:lineRule="auto"/>
        <w:rPr>
          <w:rFonts w:ascii="黑体" w:hAnsi="宋体" w:eastAsia="黑体"/>
        </w:rPr>
      </w:pPr>
      <w:r>
        <w:rPr>
          <w:rFonts w:hint="eastAsia" w:ascii="黑体" w:hAnsi="宋体" w:eastAsia="黑体"/>
        </w:rPr>
        <w:t>6．政策导向</w:t>
      </w:r>
    </w:p>
    <w:p w14:paraId="2252F3AF">
      <w:pPr>
        <w:spacing w:line="360" w:lineRule="auto"/>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14:paraId="66D24A49">
      <w:pPr>
        <w:spacing w:line="360" w:lineRule="auto"/>
        <w:ind w:firstLine="405"/>
        <w:rPr>
          <w:rFonts w:eastAsia="宋体"/>
          <w:shd w:val="clear" w:color="auto" w:fill="FFFFFF"/>
        </w:rPr>
      </w:pPr>
      <w:r>
        <w:rPr>
          <w:rFonts w:hint="eastAsia" w:ascii="宋体" w:hAnsi="宋体" w:eastAsia="宋体"/>
        </w:rPr>
        <w:t>6.2本项目落实深圳市政府采购供应商诚信管理政策要求。</w:t>
      </w:r>
    </w:p>
    <w:p w14:paraId="71FAD8E1">
      <w:pPr>
        <w:spacing w:line="360" w:lineRule="auto"/>
        <w:rPr>
          <w:rFonts w:ascii="黑体" w:hAnsi="宋体" w:eastAsia="黑体"/>
        </w:rPr>
      </w:pPr>
      <w:r>
        <w:rPr>
          <w:rFonts w:hint="eastAsia" w:ascii="黑体" w:hAnsi="宋体" w:eastAsia="黑体"/>
        </w:rPr>
        <w:t>7. 本项目若涉及采购货物，则合格的货物及相应服务应满足以下要求：</w:t>
      </w:r>
    </w:p>
    <w:p w14:paraId="0A5922A9">
      <w:pPr>
        <w:spacing w:line="360" w:lineRule="auto"/>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DC0ED34">
      <w:pPr>
        <w:spacing w:line="360" w:lineRule="auto"/>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5AFDBB5C">
      <w:pPr>
        <w:spacing w:line="360" w:lineRule="auto"/>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05B38D4">
      <w:pPr>
        <w:spacing w:line="360" w:lineRule="auto"/>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840"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40"/>
    </w:p>
    <w:p w14:paraId="70EB48C5">
      <w:pPr>
        <w:spacing w:line="360" w:lineRule="auto"/>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F94589F">
      <w:pPr>
        <w:spacing w:line="360" w:lineRule="auto"/>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1AD1008C">
      <w:pPr>
        <w:spacing w:line="360" w:lineRule="auto"/>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21E03BD6">
      <w:pPr>
        <w:spacing w:line="360" w:lineRule="auto"/>
        <w:rPr>
          <w:rFonts w:ascii="黑体" w:hAnsi="宋体" w:eastAsia="黑体"/>
        </w:rPr>
      </w:pPr>
      <w:r>
        <w:rPr>
          <w:rFonts w:hint="eastAsia" w:ascii="黑体" w:hAnsi="宋体" w:eastAsia="黑体"/>
        </w:rPr>
        <w:t>8．投标费用</w:t>
      </w:r>
    </w:p>
    <w:p w14:paraId="35E9B2AA">
      <w:pPr>
        <w:spacing w:line="360" w:lineRule="auto"/>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24CF19B2">
      <w:pPr>
        <w:spacing w:line="360" w:lineRule="auto"/>
        <w:rPr>
          <w:rFonts w:ascii="黑体" w:hAnsi="宋体" w:eastAsia="黑体"/>
        </w:rPr>
      </w:pPr>
      <w:r>
        <w:rPr>
          <w:rFonts w:hint="eastAsia" w:ascii="黑体" w:hAnsi="宋体" w:eastAsia="黑体"/>
        </w:rPr>
        <w:t>9．踏勘现场</w:t>
      </w:r>
    </w:p>
    <w:p w14:paraId="7C7C5DF8">
      <w:pPr>
        <w:spacing w:line="360" w:lineRule="auto"/>
        <w:ind w:firstLine="470" w:firstLineChars="196"/>
        <w:rPr>
          <w:rFonts w:ascii="宋体" w:hAnsi="宋体" w:eastAsia="宋体"/>
          <w:szCs w:val="21"/>
        </w:rPr>
      </w:pPr>
      <w:r>
        <w:rPr>
          <w:rFonts w:hint="eastAsia" w:ascii="宋体" w:hAnsi="宋体" w:eastAsia="宋体"/>
          <w:szCs w:val="21"/>
        </w:rPr>
        <w:t>9.1如有需要（详见专用条款），采购人或招标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F10B561">
      <w:pPr>
        <w:spacing w:line="360" w:lineRule="auto"/>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0E551EF9">
      <w:pPr>
        <w:spacing w:line="360" w:lineRule="auto"/>
        <w:ind w:firstLine="470" w:firstLineChars="196"/>
        <w:rPr>
          <w:rFonts w:ascii="宋体" w:hAnsi="宋体" w:eastAsia="宋体"/>
        </w:rPr>
      </w:pPr>
      <w:r>
        <w:rPr>
          <w:rFonts w:hint="eastAsia" w:ascii="宋体" w:hAnsi="宋体" w:eastAsia="宋体"/>
        </w:rPr>
        <w:t>9.3采购人应当通过招标代理机构向投标人提供有关现场的书面资料和数据。</w:t>
      </w:r>
    </w:p>
    <w:p w14:paraId="53C3F3B1">
      <w:pPr>
        <w:spacing w:line="360" w:lineRule="auto"/>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9.4任何人或任何组织在踏勘现场时向投标人提供的任何书面资料或口头承诺，未经招标代理机构在网上发布或书面通知，均作无效处理。</w:t>
      </w:r>
    </w:p>
    <w:p w14:paraId="60599469">
      <w:pPr>
        <w:spacing w:line="360" w:lineRule="auto"/>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774FE990">
      <w:pPr>
        <w:spacing w:line="360" w:lineRule="auto"/>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3C52F69E">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如采购人或招标代理机构认为有必要组织标前会议，投标人应按照招标文件规定的时间或招标代理机构另行书面通知（包括招标代理机构网站发布方式，如更正公告等）的时间和地点，参与标前会议。</w:t>
      </w:r>
    </w:p>
    <w:p w14:paraId="46EB94B4">
      <w:pPr>
        <w:spacing w:line="360" w:lineRule="auto"/>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任何人或任何组织在标前会议时向投标人提供的任何书面资料或口头承诺，未经招标代理机构在网上发布或书面通知，均作无效处理。</w:t>
      </w:r>
    </w:p>
    <w:p w14:paraId="15861CBD">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839"/>
    </w:p>
    <w:p w14:paraId="5C8FE4C7">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5D364B1C">
      <w:pPr>
        <w:spacing w:line="360" w:lineRule="auto"/>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841" w:name="_Hlk72399819"/>
      <w:r>
        <w:rPr>
          <w:rFonts w:hint="eastAsia" w:ascii="黑体" w:hAnsi="宋体" w:eastAsia="黑体"/>
        </w:rPr>
        <w:t>招标文件的编制与组成</w:t>
      </w:r>
    </w:p>
    <w:p w14:paraId="1454D8CE">
      <w:pPr>
        <w:snapToGrid w:val="0"/>
        <w:spacing w:line="360" w:lineRule="auto"/>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.1招标文件除以下内容外，招标代理机构在招标期间发出的澄清或修改等相关公告或通知内容，均是招标文件的组成部分，对投标人起约束作用；</w:t>
      </w:r>
    </w:p>
    <w:p w14:paraId="3BC76C57">
      <w:pPr>
        <w:spacing w:line="360" w:lineRule="auto"/>
        <w:ind w:firstLine="470" w:firstLineChars="196"/>
        <w:rPr>
          <w:rFonts w:ascii="宋体" w:hAnsi="宋体" w:eastAsia="宋体"/>
          <w:szCs w:val="21"/>
        </w:rPr>
      </w:pPr>
      <w:r>
        <w:rPr>
          <w:rFonts w:hint="eastAsia" w:ascii="宋体" w:hAnsi="宋体" w:eastAsia="宋体"/>
          <w:szCs w:val="21"/>
        </w:rPr>
        <w:t>招标文件包括下列内容：</w:t>
      </w:r>
    </w:p>
    <w:p w14:paraId="7CA2314B">
      <w:pPr>
        <w:spacing w:line="360" w:lineRule="auto"/>
        <w:ind w:left="480" w:leftChars="200" w:firstLine="472" w:firstLineChars="196"/>
        <w:rPr>
          <w:rFonts w:ascii="宋体" w:hAnsi="宋体" w:eastAsia="宋体"/>
          <w:b/>
          <w:szCs w:val="21"/>
        </w:rPr>
      </w:pPr>
      <w:r>
        <w:rPr>
          <w:rFonts w:hint="eastAsia" w:ascii="宋体" w:hAnsi="宋体" w:eastAsia="宋体"/>
          <w:b/>
          <w:szCs w:val="21"/>
        </w:rPr>
        <w:t>第一册  专用条款</w:t>
      </w:r>
    </w:p>
    <w:p w14:paraId="55647937">
      <w:pPr>
        <w:spacing w:line="360" w:lineRule="auto"/>
        <w:ind w:left="1234" w:leftChars="514"/>
        <w:rPr>
          <w:rFonts w:ascii="宋体" w:hAnsi="宋体" w:eastAsia="宋体"/>
          <w:b/>
          <w:szCs w:val="21"/>
        </w:rPr>
      </w:pPr>
      <w:r>
        <w:rPr>
          <w:rFonts w:hint="eastAsia" w:ascii="宋体" w:hAnsi="宋体" w:eastAsia="宋体"/>
          <w:b/>
          <w:szCs w:val="21"/>
        </w:rPr>
        <w:t>关键信息</w:t>
      </w:r>
    </w:p>
    <w:p w14:paraId="2D02514E">
      <w:pPr>
        <w:spacing w:line="360" w:lineRule="auto"/>
        <w:ind w:left="720" w:leftChars="300" w:firstLine="470" w:firstLineChars="196"/>
        <w:rPr>
          <w:rFonts w:ascii="宋体" w:hAnsi="宋体" w:eastAsia="宋体"/>
          <w:szCs w:val="21"/>
        </w:rPr>
      </w:pPr>
      <w:r>
        <w:rPr>
          <w:rFonts w:hint="eastAsia" w:ascii="宋体" w:hAnsi="宋体" w:eastAsia="宋体"/>
          <w:szCs w:val="21"/>
        </w:rPr>
        <w:t>第一章  招标公告</w:t>
      </w:r>
    </w:p>
    <w:p w14:paraId="5334FF78">
      <w:pPr>
        <w:spacing w:line="360" w:lineRule="auto"/>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23B5711C">
      <w:pPr>
        <w:spacing w:line="360" w:lineRule="auto"/>
        <w:ind w:left="720" w:leftChars="300" w:firstLine="470" w:firstLineChars="196"/>
        <w:rPr>
          <w:rFonts w:ascii="宋体" w:hAnsi="宋体" w:eastAsia="宋体"/>
          <w:szCs w:val="21"/>
        </w:rPr>
      </w:pPr>
      <w:r>
        <w:rPr>
          <w:rFonts w:hint="eastAsia" w:ascii="宋体" w:hAnsi="宋体" w:eastAsia="宋体"/>
          <w:szCs w:val="21"/>
        </w:rPr>
        <w:t>第三章  用户需求书</w:t>
      </w:r>
    </w:p>
    <w:p w14:paraId="2C19252B">
      <w:pPr>
        <w:spacing w:line="360" w:lineRule="auto"/>
        <w:ind w:left="720" w:leftChars="300" w:firstLine="470" w:firstLineChars="196"/>
        <w:rPr>
          <w:rFonts w:ascii="宋体" w:hAnsi="宋体" w:eastAsia="宋体"/>
          <w:szCs w:val="21"/>
        </w:rPr>
      </w:pPr>
      <w:r>
        <w:rPr>
          <w:rFonts w:hint="eastAsia" w:eastAsia="宋体"/>
        </w:rPr>
        <w:t>第四章投标文件格式及附件</w:t>
      </w:r>
    </w:p>
    <w:p w14:paraId="4AECA1B1">
      <w:pPr>
        <w:spacing w:line="360" w:lineRule="auto"/>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09EEBCD2">
      <w:pPr>
        <w:spacing w:line="360" w:lineRule="auto"/>
        <w:ind w:left="480" w:leftChars="200" w:firstLine="472" w:firstLineChars="196"/>
        <w:rPr>
          <w:rFonts w:ascii="宋体" w:hAnsi="宋体" w:eastAsia="宋体"/>
          <w:b/>
          <w:szCs w:val="21"/>
        </w:rPr>
      </w:pPr>
      <w:r>
        <w:rPr>
          <w:rFonts w:hint="eastAsia" w:ascii="宋体" w:hAnsi="宋体" w:eastAsia="宋体"/>
          <w:b/>
          <w:szCs w:val="21"/>
        </w:rPr>
        <w:t>第二册  通用条款</w:t>
      </w:r>
    </w:p>
    <w:p w14:paraId="3675964D">
      <w:pPr>
        <w:spacing w:line="360" w:lineRule="auto"/>
        <w:ind w:left="720" w:leftChars="300" w:firstLine="470" w:firstLineChars="196"/>
        <w:rPr>
          <w:rFonts w:ascii="宋体" w:hAnsi="宋体" w:eastAsia="宋体"/>
          <w:szCs w:val="21"/>
        </w:rPr>
      </w:pPr>
      <w:r>
        <w:rPr>
          <w:rFonts w:hint="eastAsia" w:ascii="宋体" w:hAnsi="宋体" w:eastAsia="宋体"/>
          <w:szCs w:val="21"/>
        </w:rPr>
        <w:t>第一章  总则</w:t>
      </w:r>
    </w:p>
    <w:p w14:paraId="17015EC9">
      <w:pPr>
        <w:spacing w:line="360" w:lineRule="auto"/>
        <w:ind w:left="720" w:leftChars="300" w:firstLine="470" w:firstLineChars="196"/>
        <w:rPr>
          <w:rFonts w:ascii="宋体" w:hAnsi="宋体" w:eastAsia="宋体"/>
          <w:szCs w:val="21"/>
        </w:rPr>
      </w:pPr>
      <w:r>
        <w:rPr>
          <w:rFonts w:hint="eastAsia" w:ascii="宋体" w:hAnsi="宋体" w:eastAsia="宋体"/>
          <w:szCs w:val="21"/>
        </w:rPr>
        <w:t>第二章  招标文件</w:t>
      </w:r>
    </w:p>
    <w:p w14:paraId="6FAC0816">
      <w:pPr>
        <w:spacing w:line="360" w:lineRule="auto"/>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DC2ABE1">
      <w:pPr>
        <w:spacing w:line="360" w:lineRule="auto"/>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101BBEBC">
      <w:pPr>
        <w:spacing w:line="360" w:lineRule="auto"/>
        <w:ind w:left="720" w:leftChars="300" w:firstLine="470" w:firstLineChars="196"/>
        <w:rPr>
          <w:rFonts w:ascii="宋体" w:hAnsi="宋体" w:eastAsia="宋体"/>
          <w:szCs w:val="21"/>
        </w:rPr>
      </w:pPr>
      <w:r>
        <w:rPr>
          <w:rFonts w:hint="eastAsia" w:ascii="宋体" w:hAnsi="宋体" w:eastAsia="宋体"/>
          <w:szCs w:val="21"/>
        </w:rPr>
        <w:t>第五章  开标</w:t>
      </w:r>
    </w:p>
    <w:p w14:paraId="36E8E800">
      <w:pPr>
        <w:spacing w:line="360" w:lineRule="auto"/>
        <w:ind w:left="720" w:leftChars="300" w:firstLine="470" w:firstLineChars="196"/>
        <w:rPr>
          <w:rFonts w:ascii="宋体" w:hAnsi="宋体" w:eastAsia="宋体"/>
          <w:szCs w:val="21"/>
        </w:rPr>
      </w:pPr>
      <w:r>
        <w:rPr>
          <w:rFonts w:hint="eastAsia" w:ascii="宋体" w:hAnsi="宋体" w:eastAsia="宋体"/>
          <w:szCs w:val="21"/>
        </w:rPr>
        <w:t>第六章  评审要求</w:t>
      </w:r>
    </w:p>
    <w:p w14:paraId="0F28DE6B">
      <w:pPr>
        <w:spacing w:line="360" w:lineRule="auto"/>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2E71B400">
      <w:pPr>
        <w:spacing w:line="360" w:lineRule="auto"/>
        <w:ind w:left="720" w:leftChars="300" w:firstLine="470" w:firstLineChars="196"/>
        <w:rPr>
          <w:rFonts w:ascii="宋体" w:hAnsi="宋体" w:eastAsia="宋体"/>
          <w:szCs w:val="21"/>
        </w:rPr>
      </w:pPr>
      <w:r>
        <w:rPr>
          <w:rFonts w:hint="eastAsia" w:ascii="宋体" w:hAnsi="宋体" w:eastAsia="宋体"/>
          <w:szCs w:val="21"/>
        </w:rPr>
        <w:t>第八章  定标及公示</w:t>
      </w:r>
    </w:p>
    <w:p w14:paraId="470EF6E7">
      <w:pPr>
        <w:spacing w:line="360" w:lineRule="auto"/>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71259118">
      <w:pPr>
        <w:spacing w:line="360" w:lineRule="auto"/>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6F1144DE">
      <w:pPr>
        <w:spacing w:line="360" w:lineRule="auto"/>
        <w:ind w:left="720" w:leftChars="300" w:firstLine="470" w:firstLineChars="196"/>
        <w:rPr>
          <w:rFonts w:ascii="宋体" w:hAnsi="宋体" w:eastAsia="宋体"/>
          <w:szCs w:val="21"/>
        </w:rPr>
      </w:pPr>
      <w:r>
        <w:rPr>
          <w:rFonts w:hint="eastAsia" w:ascii="宋体" w:hAnsi="宋体" w:eastAsia="宋体"/>
          <w:szCs w:val="21"/>
        </w:rPr>
        <w:t>第十一章  质疑处理</w:t>
      </w:r>
    </w:p>
    <w:p w14:paraId="0C1FA811">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E91B29F">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22A05E4">
      <w:pPr>
        <w:spacing w:line="360" w:lineRule="auto"/>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0E615BEA">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1309A2D2">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.2投标人如对招标文件内容有疑问，应当在招标公告规定的澄清（提问）截止时间前以网上提问的形式通过网上政府采购系统提交招标代理机构。</w:t>
      </w:r>
    </w:p>
    <w:p w14:paraId="7753D4F6">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招标代理机构根据需要主动对招标文件进行必要的澄清或是根据投标人的要求对招标文件做出澄清，招标代理机构都将在投标截止日期前以书面形式（包括招标代理机构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008A3207">
      <w:pPr>
        <w:spacing w:line="360" w:lineRule="auto"/>
        <w:rPr>
          <w:rFonts w:ascii="黑体" w:hAnsi="宋体" w:eastAsia="黑体"/>
        </w:rPr>
      </w:pPr>
      <w:r>
        <w:rPr>
          <w:rFonts w:ascii="黑体" w:hAnsi="宋体" w:eastAsia="黑体"/>
        </w:rPr>
        <w:t>1</w:t>
      </w:r>
      <w:r>
        <w:rPr>
          <w:rFonts w:hint="eastAsia" w:ascii="黑体" w:hAnsi="宋体" w:eastAsia="黑体"/>
        </w:rPr>
        <w:t>3．招标文件的修改</w:t>
      </w:r>
    </w:p>
    <w:p w14:paraId="5EAE0CFA">
      <w:pPr>
        <w:spacing w:line="360" w:lineRule="auto"/>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3.1招标文件发出后，在投标截止日期前任何时候，确需要变更招标文件内容的，招标代理机构可主动或在解答投标人提出的澄清问题时对招标文件进行修改。</w:t>
      </w:r>
    </w:p>
    <w:p w14:paraId="6578878C">
      <w:pPr>
        <w:spacing w:line="360" w:lineRule="auto"/>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3.2招标文件的修改以书面形式（包括招标代理机构网站发布方式，如更正公告等）发送给所有投标人，招标文件的修改内容作为招标文件的组成部分，并具有约束力。</w:t>
      </w:r>
    </w:p>
    <w:p w14:paraId="2452EDD0">
      <w:pPr>
        <w:spacing w:line="360" w:lineRule="auto"/>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招标代理机构网站公开发布方式，如更正公告等）明确的内容为准。当招标文件、修改补充通知、招标文件澄清答复内容相互矛盾时，以最后发出的内容为准。</w:t>
      </w:r>
    </w:p>
    <w:p w14:paraId="588DF8C5">
      <w:pPr>
        <w:spacing w:line="360" w:lineRule="auto"/>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招标代理机构保证招标文件澄清答复内容和招标文件修改补充内容在投标截止时间前以书面形式（包括招标代理机构网站发布方式，如更正公告等）发送给所有投标人。为使投标人在编制投标文件时有充分时间对招标文件的修改部分进行研究，招标代理机构可以酌情延长递交投标文件的截止日期。</w:t>
      </w:r>
      <w:bookmarkEnd w:id="841"/>
    </w:p>
    <w:p w14:paraId="0943FCCE">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3B422D56">
      <w:pPr>
        <w:spacing w:line="360" w:lineRule="auto"/>
        <w:rPr>
          <w:rFonts w:ascii="黑体" w:hAnsi="宋体" w:eastAsia="黑体"/>
        </w:rPr>
      </w:pPr>
      <w:r>
        <w:rPr>
          <w:rFonts w:hint="eastAsia" w:ascii="黑体" w:hAnsi="宋体" w:eastAsia="黑体"/>
        </w:rPr>
        <w:t>14．</w:t>
      </w:r>
      <w:bookmarkStart w:id="842" w:name="_Hlk72400236"/>
      <w:r>
        <w:rPr>
          <w:rFonts w:hint="eastAsia" w:ascii="黑体" w:hAnsi="宋体" w:eastAsia="黑体"/>
        </w:rPr>
        <w:t>投标文件的语言及度量单位</w:t>
      </w:r>
    </w:p>
    <w:p w14:paraId="191DEE27">
      <w:pPr>
        <w:spacing w:line="360" w:lineRule="auto"/>
        <w:ind w:firstLine="470" w:firstLineChars="196"/>
        <w:rPr>
          <w:rFonts w:ascii="宋体" w:hAnsi="宋体" w:eastAsia="宋体"/>
          <w:szCs w:val="21"/>
        </w:rPr>
      </w:pPr>
      <w:r>
        <w:rPr>
          <w:rFonts w:hint="eastAsia" w:ascii="宋体" w:hAnsi="宋体" w:eastAsia="宋体"/>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2FE504">
      <w:pPr>
        <w:spacing w:line="360" w:lineRule="auto"/>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842"/>
    </w:p>
    <w:p w14:paraId="07839C8E">
      <w:pPr>
        <w:spacing w:line="360" w:lineRule="auto"/>
        <w:rPr>
          <w:rFonts w:ascii="黑体" w:hAnsi="宋体" w:eastAsia="黑体"/>
        </w:rPr>
      </w:pPr>
      <w:r>
        <w:rPr>
          <w:rFonts w:hint="eastAsia" w:ascii="黑体" w:hAnsi="宋体" w:eastAsia="黑体"/>
        </w:rPr>
        <w:t>15．</w:t>
      </w:r>
      <w:bookmarkStart w:id="843" w:name="_Hlk72401567"/>
      <w:r>
        <w:rPr>
          <w:rFonts w:hint="eastAsia" w:ascii="黑体" w:hAnsi="宋体" w:eastAsia="黑体"/>
        </w:rPr>
        <w:t>投标文件的组成</w:t>
      </w:r>
    </w:p>
    <w:p w14:paraId="60322A6F">
      <w:pPr>
        <w:spacing w:line="360" w:lineRule="auto"/>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2B0C2CE3">
      <w:pPr>
        <w:spacing w:line="360" w:lineRule="auto"/>
        <w:rPr>
          <w:rFonts w:ascii="黑体" w:hAnsi="宋体" w:eastAsia="黑体"/>
        </w:rPr>
      </w:pPr>
      <w:r>
        <w:rPr>
          <w:rFonts w:ascii="黑体" w:hAnsi="宋体" w:eastAsia="黑体"/>
        </w:rPr>
        <w:t>16．投标文件格式</w:t>
      </w:r>
    </w:p>
    <w:p w14:paraId="78204189">
      <w:pPr>
        <w:spacing w:line="360" w:lineRule="auto"/>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投标人提交的投标文件应毫无例外地使用招标文件所提供的相应格式</w:t>
      </w:r>
      <w:r>
        <w:rPr>
          <w:rFonts w:hint="eastAsia" w:ascii="宋体" w:hAnsi="宋体" w:eastAsia="宋体"/>
          <w:szCs w:val="21"/>
        </w:rPr>
        <w:t>（表格均可按同样格式扩展）。</w:t>
      </w:r>
    </w:p>
    <w:p w14:paraId="3EBB3FD1">
      <w:pPr>
        <w:spacing w:line="360" w:lineRule="auto"/>
        <w:rPr>
          <w:rFonts w:ascii="黑体" w:hAnsi="宋体" w:eastAsia="黑体"/>
        </w:rPr>
      </w:pPr>
      <w:r>
        <w:rPr>
          <w:rFonts w:hint="eastAsia" w:ascii="黑体" w:hAnsi="宋体" w:eastAsia="黑体"/>
        </w:rPr>
        <w:t>17．投标货币</w:t>
      </w:r>
    </w:p>
    <w:p w14:paraId="2A0A70D9">
      <w:pPr>
        <w:spacing w:line="360" w:lineRule="auto"/>
        <w:ind w:firstLine="470" w:firstLineChars="196"/>
        <w:rPr>
          <w:rFonts w:ascii="宋体" w:hAnsi="宋体" w:eastAsia="宋体"/>
          <w:szCs w:val="21"/>
        </w:rPr>
      </w:pPr>
      <w:r>
        <w:rPr>
          <w:rFonts w:hint="eastAsia" w:ascii="宋体" w:hAnsi="宋体" w:eastAsia="宋体"/>
          <w:szCs w:val="21"/>
        </w:rPr>
        <w:t>本项目的投标报价应以人民币计。</w:t>
      </w:r>
      <w:bookmarkEnd w:id="843"/>
    </w:p>
    <w:p w14:paraId="130F0C39">
      <w:pPr>
        <w:spacing w:line="360" w:lineRule="auto"/>
        <w:rPr>
          <w:rFonts w:ascii="黑体" w:hAnsi="宋体" w:eastAsia="黑体"/>
        </w:rPr>
      </w:pPr>
      <w:r>
        <w:rPr>
          <w:rFonts w:hint="eastAsia" w:ascii="黑体" w:hAnsi="宋体" w:eastAsia="黑体"/>
        </w:rPr>
        <w:t>18．</w:t>
      </w:r>
      <w:bookmarkStart w:id="844" w:name="_Hlk72401735"/>
      <w:r>
        <w:rPr>
          <w:rFonts w:hint="eastAsia" w:ascii="黑体" w:hAnsi="宋体" w:eastAsia="黑体"/>
        </w:rPr>
        <w:t>证明投标文件投标技术方案的合格性和符合招标文件规定的文件要求</w:t>
      </w:r>
    </w:p>
    <w:p w14:paraId="658EDF7F">
      <w:pPr>
        <w:spacing w:line="360" w:lineRule="auto"/>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50C29FA3">
      <w:pPr>
        <w:spacing w:line="360" w:lineRule="auto"/>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B7F1396">
      <w:pPr>
        <w:spacing w:line="360" w:lineRule="auto"/>
        <w:ind w:firstLine="470" w:firstLineChars="196"/>
        <w:rPr>
          <w:rFonts w:ascii="宋体" w:hAnsi="宋体" w:eastAsia="宋体"/>
          <w:szCs w:val="21"/>
        </w:rPr>
      </w:pPr>
      <w:r>
        <w:rPr>
          <w:rFonts w:hint="eastAsia" w:ascii="宋体" w:hAnsi="宋体" w:eastAsia="宋体"/>
          <w:szCs w:val="21"/>
        </w:rPr>
        <w:t>18.2.1主要技术指标和性能的详细说明。</w:t>
      </w:r>
    </w:p>
    <w:p w14:paraId="1474334E">
      <w:pPr>
        <w:spacing w:line="360" w:lineRule="auto"/>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75A41063">
      <w:pPr>
        <w:spacing w:line="360" w:lineRule="auto"/>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B0A14E1">
      <w:pPr>
        <w:spacing w:line="360" w:lineRule="auto"/>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14:paraId="6BF4C240">
      <w:pPr>
        <w:spacing w:line="360" w:lineRule="auto"/>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DF23981">
      <w:pPr>
        <w:spacing w:line="360" w:lineRule="auto"/>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6E147466">
      <w:pPr>
        <w:spacing w:line="360" w:lineRule="auto"/>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52171988">
      <w:pPr>
        <w:spacing w:line="360" w:lineRule="auto"/>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844"/>
    </w:p>
    <w:p w14:paraId="3B8E7E7E">
      <w:pPr>
        <w:spacing w:line="360" w:lineRule="auto"/>
        <w:rPr>
          <w:rFonts w:ascii="黑体" w:hAnsi="宋体" w:eastAsia="黑体"/>
        </w:rPr>
      </w:pPr>
      <w:r>
        <w:rPr>
          <w:rFonts w:hint="eastAsia" w:ascii="黑体" w:hAnsi="宋体" w:eastAsia="黑体"/>
        </w:rPr>
        <w:t>19．</w:t>
      </w:r>
      <w:bookmarkStart w:id="845" w:name="_Hlk72402034"/>
      <w:r>
        <w:rPr>
          <w:rFonts w:hint="eastAsia" w:ascii="黑体" w:hAnsi="宋体" w:eastAsia="黑体"/>
        </w:rPr>
        <w:t>投标文件其他证明文件的要求</w:t>
      </w:r>
    </w:p>
    <w:p w14:paraId="727A2E37">
      <w:pPr>
        <w:spacing w:line="360" w:lineRule="auto"/>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46" w:name="_Hlk71407299"/>
      <w:bookmarkEnd w:id="846"/>
    </w:p>
    <w:p w14:paraId="673B754A">
      <w:pPr>
        <w:spacing w:line="360" w:lineRule="auto"/>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7C4BA0D">
      <w:pPr>
        <w:spacing w:line="360" w:lineRule="auto"/>
        <w:rPr>
          <w:rFonts w:ascii="黑体" w:hAnsi="宋体" w:eastAsia="黑体"/>
        </w:rPr>
      </w:pPr>
      <w:r>
        <w:rPr>
          <w:rFonts w:hint="eastAsia" w:ascii="黑体" w:hAnsi="宋体" w:eastAsia="黑体"/>
        </w:rPr>
        <w:t>20．投标有效期</w:t>
      </w:r>
    </w:p>
    <w:bookmarkEnd w:id="845"/>
    <w:p w14:paraId="33DE69CE">
      <w:pPr>
        <w:spacing w:line="360" w:lineRule="auto"/>
        <w:ind w:firstLine="470" w:firstLineChars="196"/>
        <w:rPr>
          <w:rFonts w:ascii="宋体" w:hAnsi="宋体" w:eastAsia="宋体"/>
          <w:szCs w:val="21"/>
        </w:rPr>
      </w:pPr>
      <w:bookmarkStart w:id="847"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155E2D6A">
      <w:pPr>
        <w:spacing w:line="360" w:lineRule="auto"/>
        <w:ind w:firstLine="470" w:firstLineChars="196"/>
        <w:rPr>
          <w:rFonts w:ascii="宋体" w:hAnsi="宋体" w:eastAsia="宋体"/>
          <w:szCs w:val="21"/>
        </w:rPr>
      </w:pPr>
      <w:r>
        <w:rPr>
          <w:rFonts w:hint="eastAsia" w:ascii="宋体" w:hAnsi="宋体" w:eastAsia="宋体"/>
          <w:szCs w:val="21"/>
        </w:rPr>
        <w:t>20.2 在特殊情况下，招标代理机构在原定的投标有效期满之前，招标代理机构可以根据需要以书面形式（包括招标代理机构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w:t>
      </w:r>
    </w:p>
    <w:p w14:paraId="67B064DF">
      <w:pPr>
        <w:spacing w:line="360" w:lineRule="auto"/>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847"/>
    </w:p>
    <w:p w14:paraId="1F604C07">
      <w:pPr>
        <w:spacing w:line="360" w:lineRule="auto"/>
        <w:rPr>
          <w:rFonts w:ascii="黑体" w:hAnsi="宋体" w:eastAsia="黑体"/>
        </w:rPr>
      </w:pPr>
      <w:r>
        <w:rPr>
          <w:rFonts w:hint="eastAsia" w:ascii="黑体" w:hAnsi="宋体" w:eastAsia="黑体"/>
        </w:rPr>
        <w:t>21．</w:t>
      </w:r>
      <w:bookmarkStart w:id="848" w:name="_Hlk72402325"/>
      <w:r>
        <w:rPr>
          <w:rFonts w:hint="eastAsia" w:ascii="黑体" w:hAnsi="宋体" w:eastAsia="黑体"/>
        </w:rPr>
        <w:t xml:space="preserve">关于投标保证金 </w:t>
      </w:r>
    </w:p>
    <w:p w14:paraId="4F188FD6">
      <w:pPr>
        <w:spacing w:line="360" w:lineRule="auto"/>
        <w:rPr>
          <w:rFonts w:ascii="宋体" w:hAnsi="宋体" w:eastAsia="宋体"/>
          <w:szCs w:val="21"/>
        </w:rPr>
      </w:pPr>
      <w:r>
        <w:rPr>
          <w:rFonts w:hint="eastAsia" w:ascii="宋体" w:hAnsi="宋体" w:eastAsia="宋体"/>
          <w:szCs w:val="21"/>
        </w:rPr>
        <w:t xml:space="preserve">    21.1 </w:t>
      </w:r>
      <w:r>
        <w:rPr>
          <w:rFonts w:hint="eastAsia" w:eastAsia="宋体"/>
        </w:rPr>
        <w:t>根据《</w:t>
      </w:r>
      <w:r>
        <w:rPr>
          <w:rFonts w:eastAsia="宋体"/>
        </w:rPr>
        <w:t>深圳市财政局关于明确政府采购保证金管理工作的通知</w:t>
      </w:r>
      <w:r>
        <w:rPr>
          <w:rFonts w:hint="eastAsia" w:eastAsia="宋体"/>
        </w:rPr>
        <w:t>》（深财购[</w:t>
      </w:r>
      <w:r>
        <w:rPr>
          <w:rFonts w:eastAsia="宋体"/>
        </w:rPr>
        <w:t>2019]42</w:t>
      </w:r>
      <w:r>
        <w:rPr>
          <w:rFonts w:hint="eastAsia" w:eastAsia="宋体"/>
        </w:rPr>
        <w:t>号）文的规定，本项目不收取投标保证金。</w:t>
      </w:r>
    </w:p>
    <w:p w14:paraId="2AE93DB6">
      <w:pPr>
        <w:spacing w:line="360" w:lineRule="auto"/>
        <w:rPr>
          <w:rFonts w:ascii="黑体" w:hAnsi="宋体" w:eastAsia="黑体"/>
        </w:rPr>
      </w:pPr>
      <w:r>
        <w:rPr>
          <w:rFonts w:hint="eastAsia" w:ascii="黑体" w:hAnsi="宋体" w:eastAsia="黑体"/>
        </w:rPr>
        <w:t>22．投标人的替代方案</w:t>
      </w:r>
    </w:p>
    <w:p w14:paraId="57695BC1">
      <w:pPr>
        <w:spacing w:line="360" w:lineRule="auto"/>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5A83E46">
      <w:pPr>
        <w:spacing w:line="360" w:lineRule="auto"/>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848"/>
    </w:p>
    <w:p w14:paraId="00F856EC">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69A69BE5">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0749C111">
      <w:pPr>
        <w:spacing w:line="360" w:lineRule="auto"/>
        <w:rPr>
          <w:rFonts w:ascii="黑体" w:hAnsi="宋体" w:eastAsia="黑体"/>
        </w:rPr>
      </w:pPr>
      <w:r>
        <w:rPr>
          <w:rFonts w:hint="eastAsia" w:ascii="黑体" w:hAnsi="宋体" w:eastAsia="黑体"/>
        </w:rPr>
        <w:t>28．开标</w:t>
      </w:r>
    </w:p>
    <w:p w14:paraId="79D437B5">
      <w:pPr>
        <w:spacing w:after="60" w:line="360" w:lineRule="auto"/>
        <w:ind w:firstLine="482" w:firstLineChars="200"/>
        <w:rPr>
          <w:rFonts w:asciiTheme="majorEastAsia" w:hAnsiTheme="majorEastAsia" w:eastAsiaTheme="majorEastAsia"/>
          <w:b/>
          <w:szCs w:val="21"/>
          <w:highlight w:val="yellow"/>
        </w:rPr>
      </w:pPr>
      <w:r>
        <w:rPr>
          <w:rFonts w:asciiTheme="majorEastAsia" w:hAnsiTheme="majorEastAsia" w:eastAsiaTheme="majorEastAsia"/>
          <w:b/>
          <w:szCs w:val="21"/>
          <w:highlight w:val="yellow"/>
        </w:rPr>
        <w:t>2</w:t>
      </w:r>
      <w:r>
        <w:rPr>
          <w:rFonts w:hint="eastAsia" w:asciiTheme="majorEastAsia" w:hAnsiTheme="majorEastAsia" w:eastAsiaTheme="majorEastAsia"/>
          <w:b/>
          <w:szCs w:val="21"/>
          <w:highlight w:val="yellow"/>
        </w:rPr>
        <w:t>8</w:t>
      </w:r>
      <w:r>
        <w:rPr>
          <w:rFonts w:asciiTheme="majorEastAsia" w:hAnsiTheme="majorEastAsia" w:eastAsiaTheme="majorEastAsia"/>
          <w:b/>
          <w:szCs w:val="21"/>
          <w:highlight w:val="yellow"/>
        </w:rPr>
        <w:t>.</w:t>
      </w:r>
      <w:r>
        <w:rPr>
          <w:rFonts w:hint="eastAsia" w:asciiTheme="majorEastAsia" w:hAnsiTheme="majorEastAsia" w:eastAsiaTheme="majorEastAsia"/>
          <w:b/>
          <w:szCs w:val="21"/>
          <w:highlight w:val="yellow"/>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b/>
          <w:szCs w:val="21"/>
          <w:highlight w:val="yellow"/>
        </w:rPr>
        <w:t>http://zfcg.szggzy.com:8081/</w:t>
      </w:r>
      <w:r>
        <w:rPr>
          <w:rFonts w:hint="eastAsia" w:asciiTheme="majorEastAsia" w:hAnsiTheme="majorEastAsia" w:eastAsiaTheme="majorEastAsia"/>
          <w:b/>
          <w:szCs w:val="21"/>
          <w:highlight w:val="yellow"/>
        </w:rPr>
        <w:t>TPBidder/memberLogin）”，使用本单位制作电子投标文件同一个电子密钥，在“【我的项目】→【项目流程】→【开标及解密】”进行在线解密、查询开标情况。</w:t>
      </w:r>
    </w:p>
    <w:p w14:paraId="0AA29D11">
      <w:pPr>
        <w:spacing w:line="360" w:lineRule="auto"/>
        <w:ind w:firstLine="361" w:firstLineChars="150"/>
        <w:rPr>
          <w:rFonts w:ascii="宋体" w:hAnsi="宋体" w:eastAsia="宋体"/>
          <w:szCs w:val="21"/>
        </w:rPr>
      </w:pPr>
      <w:r>
        <w:rPr>
          <w:rFonts w:hint="eastAsia" w:asciiTheme="majorEastAsia" w:hAnsiTheme="majorEastAsia" w:eastAsiaTheme="majorEastAsia"/>
          <w:b/>
          <w:szCs w:val="21"/>
          <w:highlight w:val="yellow"/>
        </w:rPr>
        <w:t>2</w:t>
      </w:r>
      <w:r>
        <w:rPr>
          <w:rFonts w:asciiTheme="majorEastAsia" w:hAnsiTheme="majorEastAsia" w:eastAsiaTheme="majorEastAsia"/>
          <w:b/>
          <w:szCs w:val="21"/>
          <w:highlight w:val="yellow"/>
        </w:rPr>
        <w:t xml:space="preserve">8.2 </w:t>
      </w:r>
      <w:r>
        <w:rPr>
          <w:rFonts w:hint="eastAsia" w:asciiTheme="majorEastAsia" w:hAnsiTheme="majorEastAsia" w:eastAsiaTheme="majorEastAsia"/>
          <w:b/>
          <w:szCs w:val="21"/>
          <w:highlight w:val="yellow"/>
        </w:rPr>
        <w:t>采购代理机构将在满足开标条件（</w:t>
      </w:r>
      <w:r>
        <w:rPr>
          <w:rFonts w:hint="eastAsia" w:cs="宋体" w:asciiTheme="majorEastAsia" w:hAnsiTheme="majorEastAsia" w:eastAsiaTheme="majorEastAsia"/>
          <w:b/>
          <w:szCs w:val="21"/>
          <w:highlight w:val="yellow"/>
          <w:shd w:val="clear" w:color="auto" w:fill="FFFFFF"/>
        </w:rPr>
        <w:t>①</w:t>
      </w:r>
      <w:r>
        <w:rPr>
          <w:rFonts w:hint="eastAsia" w:asciiTheme="majorEastAsia" w:hAnsiTheme="majorEastAsia" w:eastAsiaTheme="majorEastAsia"/>
          <w:b/>
          <w:szCs w:val="21"/>
          <w:highlight w:val="yellow"/>
        </w:rPr>
        <w:t>解密时间结束，解密后的投标供应商数量满足开标要求或</w:t>
      </w:r>
      <w:r>
        <w:rPr>
          <w:rFonts w:hint="eastAsia" w:cs="宋体" w:asciiTheme="majorEastAsia" w:hAnsiTheme="majorEastAsia" w:eastAsiaTheme="majorEastAsia"/>
          <w:b/>
          <w:szCs w:val="21"/>
          <w:highlight w:val="yellow"/>
          <w:shd w:val="clear" w:color="auto" w:fill="FFFFFF"/>
        </w:rPr>
        <w:t>②</w:t>
      </w:r>
      <w:r>
        <w:rPr>
          <w:rFonts w:hint="eastAsia" w:asciiTheme="majorEastAsia" w:hAnsiTheme="majorEastAsia" w:eastAsiaTheme="majorEastAsia"/>
          <w:b/>
          <w:szCs w:val="21"/>
          <w:highlight w:val="yellow"/>
        </w:rPr>
        <w:t>解密时间结束前所有投标供应商均完成投标文件解密）后，对投标文件进行开标，并在网上公布开标结果。</w:t>
      </w:r>
    </w:p>
    <w:p w14:paraId="503E9A16">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563C514C">
      <w:pPr>
        <w:spacing w:line="360" w:lineRule="auto"/>
        <w:rPr>
          <w:rFonts w:ascii="黑体" w:hAnsi="宋体" w:eastAsia="黑体"/>
        </w:rPr>
      </w:pPr>
      <w:r>
        <w:rPr>
          <w:rFonts w:hint="eastAsia" w:ascii="黑体" w:hAnsi="宋体" w:eastAsia="黑体"/>
        </w:rPr>
        <w:t>29．评审委员会组成</w:t>
      </w:r>
    </w:p>
    <w:p w14:paraId="700C11D4">
      <w:pPr>
        <w:spacing w:line="360" w:lineRule="auto"/>
        <w:ind w:firstLine="470" w:firstLineChars="196"/>
        <w:rPr>
          <w:rFonts w:ascii="宋体" w:hAnsi="宋体" w:eastAsia="宋体"/>
        </w:rPr>
      </w:pPr>
      <w:r>
        <w:rPr>
          <w:rFonts w:hint="eastAsia" w:ascii="宋体" w:hAnsi="宋体" w:eastAsia="宋体"/>
        </w:rPr>
        <w:t>29.1网上开标结束后召开评审会议，</w:t>
      </w:r>
      <w:r>
        <w:rPr>
          <w:rFonts w:hint="eastAsia" w:ascii="宋体" w:hAnsi="宋体" w:eastAsia="宋体"/>
          <w:szCs w:val="21"/>
        </w:rPr>
        <w:t>评审委员会</w:t>
      </w:r>
      <w:r>
        <w:rPr>
          <w:rFonts w:hint="eastAsia" w:ascii="宋体" w:hAnsi="宋体" w:eastAsia="宋体"/>
        </w:rPr>
        <w:t>由招标代理机构依法组建，负责评审活动。</w:t>
      </w:r>
    </w:p>
    <w:p w14:paraId="22BF5883">
      <w:pPr>
        <w:spacing w:line="360" w:lineRule="auto"/>
        <w:ind w:firstLine="470" w:firstLineChars="196"/>
        <w:rPr>
          <w:rFonts w:ascii="宋体" w:hAnsi="宋体" w:eastAsia="宋体"/>
        </w:rPr>
      </w:pPr>
      <w:bookmarkStart w:id="849"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849"/>
      <w:r>
        <w:rPr>
          <w:rFonts w:hint="eastAsia" w:ascii="宋体" w:hAnsi="宋体" w:eastAsia="宋体"/>
        </w:rPr>
        <w:t>评定</w:t>
      </w:r>
      <w:r>
        <w:rPr>
          <w:rFonts w:hint="eastAsia" w:eastAsia="宋体"/>
        </w:rPr>
        <w:t>分离项目</w:t>
      </w:r>
      <w:r>
        <w:rPr>
          <w:rFonts w:eastAsia="宋体"/>
        </w:rPr>
        <w:t>评审专家</w:t>
      </w:r>
      <w:r>
        <w:rPr>
          <w:rFonts w:hint="eastAsia" w:eastAsia="宋体"/>
        </w:rPr>
        <w:t>均</w:t>
      </w:r>
      <w:r>
        <w:rPr>
          <w:rFonts w:eastAsia="宋体"/>
        </w:rPr>
        <w:t>由</w:t>
      </w:r>
      <w:r>
        <w:rPr>
          <w:rFonts w:hint="eastAsia" w:eastAsia="宋体"/>
        </w:rPr>
        <w:t>评审专家组成。</w:t>
      </w:r>
      <w:r>
        <w:rPr>
          <w:rFonts w:hint="eastAsia" w:ascii="宋体" w:hAnsi="宋体" w:eastAsia="宋体"/>
          <w:szCs w:val="21"/>
        </w:rPr>
        <w:t>评审专家一般是</w:t>
      </w:r>
      <w:r>
        <w:rPr>
          <w:rFonts w:hint="eastAsia" w:ascii="宋体" w:hAnsi="宋体" w:eastAsia="宋体"/>
        </w:rPr>
        <w:t>从深圳市政府采购评审专家库中随机抽取。采购人代表须持本单位签发的《评审授权书》参加评审。</w:t>
      </w:r>
    </w:p>
    <w:p w14:paraId="6D3E895F">
      <w:pPr>
        <w:spacing w:line="360" w:lineRule="auto"/>
        <w:ind w:firstLine="470" w:firstLineChars="196"/>
        <w:rPr>
          <w:rFonts w:ascii="宋体" w:hAnsi="宋体" w:eastAsia="宋体"/>
        </w:rPr>
      </w:pPr>
      <w:r>
        <w:rPr>
          <w:rFonts w:hint="eastAsia" w:ascii="宋体" w:hAnsi="宋体" w:eastAsia="宋体"/>
        </w:rPr>
        <w:t>29.2评审定标应当遵循公平、公正、科学、择优的原则。</w:t>
      </w:r>
    </w:p>
    <w:p w14:paraId="47BB3701">
      <w:pPr>
        <w:spacing w:line="360" w:lineRule="auto"/>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38D4C0F9">
      <w:pPr>
        <w:spacing w:line="360" w:lineRule="auto"/>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268DAFD">
      <w:pPr>
        <w:spacing w:line="360" w:lineRule="auto"/>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46AEBDE0">
      <w:pPr>
        <w:spacing w:line="360" w:lineRule="auto"/>
        <w:rPr>
          <w:rFonts w:ascii="黑体" w:hAnsi="宋体" w:eastAsia="黑体"/>
        </w:rPr>
      </w:pPr>
      <w:r>
        <w:rPr>
          <w:rFonts w:hint="eastAsia" w:ascii="黑体" w:hAnsi="宋体" w:eastAsia="黑体"/>
        </w:rPr>
        <w:t>30．向评审委员会提供的资料</w:t>
      </w:r>
    </w:p>
    <w:p w14:paraId="4F5BE76D">
      <w:pPr>
        <w:spacing w:line="360" w:lineRule="auto"/>
        <w:ind w:firstLine="470" w:firstLineChars="196"/>
        <w:rPr>
          <w:rFonts w:ascii="宋体" w:hAnsi="宋体" w:eastAsia="宋体"/>
        </w:rPr>
      </w:pPr>
      <w:r>
        <w:rPr>
          <w:rFonts w:hint="eastAsia" w:ascii="宋体" w:hAnsi="宋体" w:eastAsia="宋体"/>
        </w:rPr>
        <w:t>30.1公开发布的招标文件，包括图纸、服务清单、答疑文件等；</w:t>
      </w:r>
    </w:p>
    <w:p w14:paraId="34E6E74F">
      <w:pPr>
        <w:spacing w:line="360" w:lineRule="auto"/>
        <w:ind w:firstLine="470" w:firstLineChars="196"/>
        <w:rPr>
          <w:rFonts w:ascii="宋体" w:hAnsi="宋体" w:eastAsia="宋体"/>
        </w:rPr>
      </w:pPr>
      <w:r>
        <w:rPr>
          <w:rFonts w:hint="eastAsia" w:ascii="宋体" w:hAnsi="宋体" w:eastAsia="宋体"/>
        </w:rPr>
        <w:t>30.2其他评标必须的资料。</w:t>
      </w:r>
    </w:p>
    <w:p w14:paraId="5992DA95">
      <w:pPr>
        <w:spacing w:line="360" w:lineRule="auto"/>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E0A2EC9">
      <w:pPr>
        <w:spacing w:line="360" w:lineRule="auto"/>
        <w:ind w:firstLine="470" w:firstLineChars="196"/>
        <w:rPr>
          <w:rFonts w:ascii="宋体" w:hAnsi="宋体" w:eastAsia="宋体"/>
        </w:rPr>
      </w:pPr>
      <w:r>
        <w:rPr>
          <w:rFonts w:hint="eastAsia" w:ascii="宋体" w:hAnsi="宋体" w:eastAsia="宋体"/>
        </w:rPr>
        <w:t>（1）招标的目的；</w:t>
      </w:r>
    </w:p>
    <w:p w14:paraId="0D87D125">
      <w:pPr>
        <w:spacing w:line="360" w:lineRule="auto"/>
        <w:ind w:firstLine="470" w:firstLineChars="196"/>
        <w:rPr>
          <w:rFonts w:ascii="宋体" w:hAnsi="宋体" w:eastAsia="宋体"/>
        </w:rPr>
      </w:pPr>
      <w:r>
        <w:rPr>
          <w:rFonts w:hint="eastAsia" w:ascii="宋体" w:hAnsi="宋体" w:eastAsia="宋体"/>
        </w:rPr>
        <w:t>（2）招标项目需求的范围和性质；</w:t>
      </w:r>
    </w:p>
    <w:p w14:paraId="28E39716">
      <w:pPr>
        <w:spacing w:line="360" w:lineRule="auto"/>
        <w:ind w:firstLine="470" w:firstLineChars="196"/>
        <w:rPr>
          <w:rFonts w:ascii="宋体" w:hAnsi="宋体" w:eastAsia="宋体"/>
        </w:rPr>
      </w:pPr>
      <w:r>
        <w:rPr>
          <w:rFonts w:hint="eastAsia" w:ascii="宋体" w:hAnsi="宋体" w:eastAsia="宋体"/>
        </w:rPr>
        <w:t>（3）招标文件规定的投标人的资格、财政预算限额、商务条款；</w:t>
      </w:r>
    </w:p>
    <w:p w14:paraId="1DA51B76">
      <w:pPr>
        <w:spacing w:line="360" w:lineRule="auto"/>
        <w:ind w:firstLine="470" w:firstLineChars="196"/>
        <w:rPr>
          <w:rFonts w:ascii="宋体" w:hAnsi="宋体" w:eastAsia="宋体"/>
        </w:rPr>
      </w:pPr>
      <w:r>
        <w:rPr>
          <w:rFonts w:hint="eastAsia" w:ascii="宋体" w:hAnsi="宋体" w:eastAsia="宋体"/>
        </w:rPr>
        <w:t>（4）招标文件规定的评标程序、评标方法和评标因素；</w:t>
      </w:r>
    </w:p>
    <w:p w14:paraId="62588975">
      <w:pPr>
        <w:spacing w:line="360" w:lineRule="auto"/>
        <w:ind w:firstLine="470" w:firstLineChars="196"/>
        <w:rPr>
          <w:rFonts w:ascii="宋体" w:hAnsi="宋体" w:eastAsia="宋体"/>
        </w:rPr>
      </w:pPr>
      <w:r>
        <w:rPr>
          <w:rFonts w:hint="eastAsia" w:ascii="宋体" w:hAnsi="宋体" w:eastAsia="宋体"/>
        </w:rPr>
        <w:t>（5）招标文件所列示的资格性审查表及符合性审查表。</w:t>
      </w:r>
    </w:p>
    <w:p w14:paraId="0FB2DAB4">
      <w:pPr>
        <w:spacing w:line="360" w:lineRule="auto"/>
        <w:rPr>
          <w:rFonts w:ascii="黑体" w:hAnsi="宋体" w:eastAsia="黑体"/>
        </w:rPr>
      </w:pPr>
      <w:r>
        <w:rPr>
          <w:rFonts w:hint="eastAsia" w:ascii="黑体" w:hAnsi="宋体" w:eastAsia="黑体"/>
        </w:rPr>
        <w:t>31．独立评审</w:t>
      </w:r>
    </w:p>
    <w:p w14:paraId="473BF084">
      <w:pPr>
        <w:spacing w:line="360" w:lineRule="auto"/>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B38F02B">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41F928B6">
      <w:pPr>
        <w:spacing w:line="360" w:lineRule="auto"/>
        <w:rPr>
          <w:rFonts w:ascii="黑体" w:hAnsi="宋体" w:eastAsia="黑体"/>
        </w:rPr>
      </w:pPr>
      <w:r>
        <w:rPr>
          <w:rFonts w:hint="eastAsia" w:ascii="黑体" w:hAnsi="宋体" w:eastAsia="黑体"/>
        </w:rPr>
        <w:t>32．投标文件初审</w:t>
      </w:r>
    </w:p>
    <w:p w14:paraId="65E8D601">
      <w:pPr>
        <w:spacing w:line="360" w:lineRule="auto"/>
        <w:ind w:firstLine="470" w:firstLineChars="196"/>
        <w:rPr>
          <w:rFonts w:ascii="宋体" w:hAnsi="宋体" w:eastAsia="宋体"/>
        </w:rPr>
      </w:pPr>
      <w:r>
        <w:rPr>
          <w:rFonts w:hint="eastAsia" w:ascii="宋体" w:hAnsi="宋体" w:eastAsia="宋体"/>
        </w:rPr>
        <w:t>32.1投标文件初审包括资格性审查和符合性审查。</w:t>
      </w:r>
    </w:p>
    <w:p w14:paraId="595C2A7B">
      <w:pPr>
        <w:spacing w:line="360" w:lineRule="auto"/>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6379BF87">
      <w:pPr>
        <w:spacing w:line="360" w:lineRule="auto"/>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146D4E07">
      <w:pPr>
        <w:spacing w:line="360" w:lineRule="auto"/>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4531BD65">
      <w:pPr>
        <w:spacing w:line="360" w:lineRule="auto"/>
        <w:ind w:firstLine="470" w:firstLineChars="196"/>
        <w:rPr>
          <w:rFonts w:ascii="宋体" w:hAnsi="宋体" w:eastAsia="宋体"/>
          <w:bCs/>
        </w:rPr>
      </w:pPr>
      <w:r>
        <w:rPr>
          <w:rFonts w:hint="eastAsia" w:ascii="宋体" w:hAnsi="宋体" w:eastAsia="宋体"/>
          <w:bCs/>
        </w:rPr>
        <w:t>32.3 投标文件初审中关于供应商家数的计算:</w:t>
      </w:r>
    </w:p>
    <w:p w14:paraId="359546C0">
      <w:pPr>
        <w:spacing w:line="360" w:lineRule="auto"/>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5C256C2">
      <w:pPr>
        <w:spacing w:line="360" w:lineRule="auto"/>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8C42609">
      <w:pPr>
        <w:spacing w:line="360" w:lineRule="auto"/>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7FFCCF81">
      <w:pPr>
        <w:spacing w:line="360" w:lineRule="auto"/>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002B0918">
      <w:pPr>
        <w:spacing w:line="360" w:lineRule="auto"/>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80E7EB5">
      <w:pPr>
        <w:spacing w:line="360" w:lineRule="auto"/>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253E74DB">
      <w:pPr>
        <w:spacing w:line="360" w:lineRule="auto"/>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644FCAF6">
      <w:pPr>
        <w:spacing w:line="360" w:lineRule="auto"/>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04450FA1">
      <w:pPr>
        <w:spacing w:line="360" w:lineRule="auto"/>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54AFDBB2">
      <w:pPr>
        <w:spacing w:line="360" w:lineRule="auto"/>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CB45A2B">
      <w:pPr>
        <w:spacing w:line="360" w:lineRule="auto"/>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03A9FEE2">
      <w:pPr>
        <w:spacing w:line="360" w:lineRule="auto"/>
        <w:ind w:firstLine="470" w:firstLineChars="196"/>
        <w:rPr>
          <w:rFonts w:ascii="宋体" w:hAnsi="宋体" w:eastAsia="宋体"/>
        </w:rPr>
      </w:pPr>
      <w:r>
        <w:rPr>
          <w:rFonts w:hint="eastAsia" w:ascii="宋体" w:hAnsi="宋体" w:eastAsia="宋体"/>
        </w:rPr>
        <w:t>32.4.8不同投标供应商的投标文件内容存在非正常一致；</w:t>
      </w:r>
    </w:p>
    <w:p w14:paraId="0AC62883">
      <w:pPr>
        <w:spacing w:line="360" w:lineRule="auto"/>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7C304D5A">
      <w:pPr>
        <w:spacing w:line="360" w:lineRule="auto"/>
        <w:ind w:firstLine="470" w:firstLineChars="196"/>
        <w:rPr>
          <w:rFonts w:ascii="宋体" w:hAnsi="宋体" w:eastAsia="宋体"/>
        </w:rPr>
      </w:pPr>
      <w:r>
        <w:rPr>
          <w:rFonts w:hint="eastAsia" w:ascii="宋体" w:hAnsi="宋体" w:eastAsia="宋体"/>
        </w:rPr>
        <w:t>32.4.10主管部门依照法律、法规认定的其他情形。</w:t>
      </w:r>
    </w:p>
    <w:p w14:paraId="544C396C">
      <w:pPr>
        <w:spacing w:line="360" w:lineRule="auto"/>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55D0D312">
      <w:pPr>
        <w:spacing w:line="360" w:lineRule="auto"/>
        <w:rPr>
          <w:rFonts w:ascii="黑体" w:hAnsi="宋体" w:eastAsia="黑体"/>
        </w:rPr>
      </w:pPr>
      <w:r>
        <w:rPr>
          <w:rFonts w:hint="eastAsia" w:ascii="黑体" w:hAnsi="宋体" w:eastAsia="黑体"/>
        </w:rPr>
        <w:t>33．澄清有关问题</w:t>
      </w:r>
    </w:p>
    <w:p w14:paraId="2C1DE964">
      <w:pPr>
        <w:spacing w:line="360" w:lineRule="auto"/>
        <w:ind w:firstLine="470" w:firstLineChars="196"/>
        <w:rPr>
          <w:rFonts w:ascii="宋体" w:hAnsi="宋体" w:eastAsia="宋体"/>
        </w:rPr>
      </w:pPr>
      <w:bookmarkStart w:id="850"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850"/>
    </w:p>
    <w:p w14:paraId="01299810">
      <w:pPr>
        <w:spacing w:line="360" w:lineRule="auto"/>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招标代理机构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58B48C63">
      <w:pPr>
        <w:spacing w:line="360" w:lineRule="auto"/>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67C151EF">
      <w:pPr>
        <w:spacing w:line="360" w:lineRule="auto"/>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BE54461">
      <w:pPr>
        <w:spacing w:line="360" w:lineRule="auto"/>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2BF77A91">
      <w:pPr>
        <w:spacing w:line="360" w:lineRule="auto"/>
        <w:rPr>
          <w:rFonts w:ascii="黑体" w:hAnsi="宋体" w:eastAsia="黑体"/>
        </w:rPr>
      </w:pPr>
      <w:bookmarkStart w:id="851" w:name="_Toc73521581"/>
      <w:bookmarkStart w:id="852" w:name="_Toc73521669"/>
      <w:bookmarkStart w:id="853" w:name="_Toc73517673"/>
      <w:bookmarkStart w:id="854" w:name="_Toc100052400"/>
      <w:bookmarkStart w:id="855" w:name="_Toc73518151"/>
      <w:r>
        <w:rPr>
          <w:rFonts w:hint="eastAsia" w:ascii="黑体" w:hAnsi="宋体" w:eastAsia="黑体"/>
        </w:rPr>
        <w:t>34．错误的修正</w:t>
      </w:r>
      <w:bookmarkEnd w:id="851"/>
      <w:bookmarkEnd w:id="852"/>
      <w:bookmarkEnd w:id="853"/>
      <w:bookmarkEnd w:id="854"/>
      <w:bookmarkEnd w:id="855"/>
    </w:p>
    <w:p w14:paraId="51F252CD">
      <w:pPr>
        <w:spacing w:line="360" w:lineRule="auto"/>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2E7E2B6">
      <w:pPr>
        <w:spacing w:line="360" w:lineRule="auto"/>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30077EF5">
      <w:pPr>
        <w:spacing w:line="360" w:lineRule="auto"/>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3C605549">
      <w:pPr>
        <w:spacing w:line="360" w:lineRule="auto"/>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32E0B280">
      <w:pPr>
        <w:spacing w:line="360" w:lineRule="auto"/>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1D0E66A1">
      <w:pPr>
        <w:spacing w:line="360" w:lineRule="auto"/>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42683964">
      <w:pPr>
        <w:spacing w:line="360" w:lineRule="auto"/>
        <w:rPr>
          <w:rFonts w:ascii="黑体" w:hAnsi="宋体" w:eastAsia="黑体"/>
        </w:rPr>
      </w:pPr>
      <w:r>
        <w:rPr>
          <w:rFonts w:hint="eastAsia" w:ascii="黑体" w:hAnsi="宋体" w:eastAsia="黑体"/>
        </w:rPr>
        <w:t>35．投标文件的比较与评价</w:t>
      </w:r>
    </w:p>
    <w:p w14:paraId="15676D81">
      <w:pPr>
        <w:spacing w:line="360" w:lineRule="auto"/>
        <w:ind w:firstLine="470" w:firstLineChars="196"/>
        <w:rPr>
          <w:rFonts w:ascii="宋体" w:hAnsi="宋体" w:eastAsia="宋体"/>
          <w:szCs w:val="21"/>
        </w:rPr>
      </w:pPr>
      <w:r>
        <w:rPr>
          <w:rFonts w:hint="eastAsia" w:ascii="宋体" w:hAnsi="宋体" w:eastAsia="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F74714C">
      <w:pPr>
        <w:spacing w:line="360" w:lineRule="auto"/>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1FABCFA1">
      <w:pPr>
        <w:spacing w:line="360" w:lineRule="auto"/>
        <w:rPr>
          <w:rFonts w:ascii="黑体" w:hAnsi="宋体" w:eastAsia="黑体"/>
        </w:rPr>
      </w:pPr>
      <w:r>
        <w:rPr>
          <w:rFonts w:hint="eastAsia" w:ascii="黑体" w:hAnsi="宋体" w:eastAsia="黑体"/>
        </w:rPr>
        <w:t>36. 实地考察或资料查验</w:t>
      </w:r>
    </w:p>
    <w:p w14:paraId="4A8E1909">
      <w:pPr>
        <w:spacing w:line="360" w:lineRule="auto"/>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36.1在评审过程中，评审委员会有权决定是否对本项目投标人进行实地考察或资料查验（原件）。投标人应随时做好接受实地考察或资料查验的准备。</w:t>
      </w:r>
    </w:p>
    <w:p w14:paraId="7A8B9946">
      <w:pPr>
        <w:spacing w:line="360" w:lineRule="auto"/>
        <w:rPr>
          <w:rFonts w:ascii="黑体" w:hAnsi="宋体" w:eastAsia="黑体"/>
        </w:rPr>
      </w:pPr>
      <w:r>
        <w:rPr>
          <w:rFonts w:hint="eastAsia" w:ascii="黑体" w:hAnsi="宋体" w:eastAsia="黑体"/>
        </w:rPr>
        <w:t>37．评审方法</w:t>
      </w:r>
    </w:p>
    <w:p w14:paraId="2FBFE116">
      <w:pPr>
        <w:spacing w:line="360" w:lineRule="auto"/>
        <w:ind w:firstLine="472" w:firstLineChars="196"/>
        <w:rPr>
          <w:rFonts w:ascii="宋体" w:hAnsi="宋体" w:eastAsia="宋体"/>
          <w:b/>
          <w:bCs/>
          <w:szCs w:val="21"/>
        </w:rPr>
      </w:pPr>
      <w:r>
        <w:rPr>
          <w:rFonts w:hint="eastAsia" w:ascii="宋体" w:hAnsi="宋体" w:eastAsia="宋体"/>
          <w:b/>
          <w:bCs/>
          <w:szCs w:val="21"/>
        </w:rPr>
        <w:t>37.1.1最低价法</w:t>
      </w:r>
    </w:p>
    <w:p w14:paraId="19F61F76">
      <w:pPr>
        <w:spacing w:line="360" w:lineRule="auto"/>
        <w:ind w:firstLine="470" w:firstLineChars="196"/>
        <w:rPr>
          <w:rFonts w:ascii="ˎ̥" w:hAnsi="ˎ̥" w:eastAsia="宋体"/>
        </w:rPr>
      </w:pPr>
      <w:bookmarkStart w:id="856"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68D3F060">
      <w:pPr>
        <w:spacing w:line="360" w:lineRule="auto"/>
        <w:ind w:firstLine="472" w:firstLineChars="196"/>
        <w:rPr>
          <w:rFonts w:ascii="宋体" w:hAnsi="宋体" w:eastAsia="宋体"/>
          <w:b/>
          <w:bCs/>
          <w:szCs w:val="21"/>
        </w:rPr>
      </w:pPr>
      <w:r>
        <w:rPr>
          <w:rFonts w:hint="eastAsia" w:ascii="宋体" w:hAnsi="宋体" w:eastAsia="宋体"/>
          <w:b/>
          <w:bCs/>
          <w:szCs w:val="21"/>
        </w:rPr>
        <w:t>37.1.2综合评分法</w:t>
      </w:r>
    </w:p>
    <w:p w14:paraId="4F90DD5D">
      <w:pPr>
        <w:spacing w:line="360" w:lineRule="auto"/>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856"/>
    </w:p>
    <w:p w14:paraId="0DB3A254">
      <w:pPr>
        <w:spacing w:line="360" w:lineRule="auto"/>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DDE7425">
      <w:pPr>
        <w:spacing w:line="360" w:lineRule="auto"/>
        <w:ind w:firstLine="472" w:firstLineChars="196"/>
        <w:rPr>
          <w:rFonts w:ascii="宋体" w:hAnsi="宋体" w:eastAsia="宋体"/>
          <w:b/>
          <w:bCs/>
          <w:szCs w:val="21"/>
        </w:rPr>
      </w:pPr>
      <w:r>
        <w:rPr>
          <w:rFonts w:hint="eastAsia" w:ascii="宋体" w:hAnsi="宋体" w:eastAsia="宋体"/>
          <w:b/>
          <w:bCs/>
          <w:szCs w:val="21"/>
        </w:rPr>
        <w:t>37.3重新评审的情形</w:t>
      </w:r>
    </w:p>
    <w:p w14:paraId="19BC078D">
      <w:pPr>
        <w:spacing w:line="360" w:lineRule="auto"/>
        <w:ind w:firstLine="470" w:firstLineChars="196"/>
        <w:rPr>
          <w:rFonts w:ascii="宋体" w:hAnsi="宋体" w:eastAsia="宋体"/>
          <w:b/>
          <w:bCs/>
          <w:szCs w:val="21"/>
        </w:rPr>
      </w:pPr>
      <w:r>
        <w:rPr>
          <w:rFonts w:hint="eastAsia" w:ascii="宋体" w:hAnsi="宋体" w:eastAsia="宋体" w:cs="宋体"/>
          <w:szCs w:val="21"/>
        </w:rPr>
        <w:t>评审结果汇总完成后，除下列情形外，任何人不得修改评审结果：</w:t>
      </w:r>
    </w:p>
    <w:p w14:paraId="2EA2C998">
      <w:pPr>
        <w:spacing w:line="360" w:lineRule="auto"/>
        <w:ind w:firstLine="470" w:firstLineChars="196"/>
        <w:rPr>
          <w:rFonts w:ascii="宋体" w:hAnsi="宋体" w:eastAsia="宋体" w:cs="宋体"/>
          <w:szCs w:val="21"/>
        </w:rPr>
      </w:pPr>
      <w:r>
        <w:rPr>
          <w:rFonts w:hint="eastAsia" w:ascii="宋体" w:hAnsi="宋体" w:eastAsia="宋体" w:cs="宋体"/>
          <w:szCs w:val="21"/>
        </w:rPr>
        <w:t>37.3.1分值汇总计算错误的；</w:t>
      </w:r>
    </w:p>
    <w:p w14:paraId="3B03AEA1">
      <w:pPr>
        <w:spacing w:line="360" w:lineRule="auto"/>
        <w:ind w:firstLine="470" w:firstLineChars="196"/>
        <w:rPr>
          <w:rFonts w:ascii="宋体" w:hAnsi="宋体" w:eastAsia="宋体" w:cs="宋体"/>
          <w:szCs w:val="21"/>
        </w:rPr>
      </w:pPr>
      <w:r>
        <w:rPr>
          <w:rFonts w:hint="eastAsia" w:ascii="宋体" w:hAnsi="宋体" w:eastAsia="宋体" w:cs="宋体"/>
          <w:szCs w:val="21"/>
        </w:rPr>
        <w:t>37.3.2分项评分超出评分标准范围的；</w:t>
      </w:r>
    </w:p>
    <w:p w14:paraId="341AB196">
      <w:pPr>
        <w:spacing w:line="360" w:lineRule="auto"/>
        <w:ind w:firstLine="470" w:firstLineChars="196"/>
        <w:rPr>
          <w:rFonts w:ascii="宋体" w:hAnsi="宋体" w:eastAsia="宋体" w:cs="宋体"/>
          <w:szCs w:val="21"/>
        </w:rPr>
      </w:pPr>
      <w:r>
        <w:rPr>
          <w:rFonts w:hint="eastAsia" w:ascii="宋体" w:hAnsi="宋体" w:eastAsia="宋体" w:cs="宋体"/>
          <w:szCs w:val="21"/>
        </w:rPr>
        <w:t>37.3.3评审委员会成员对客观评审因素评分不一致的；</w:t>
      </w:r>
    </w:p>
    <w:p w14:paraId="1E4DC8C3">
      <w:pPr>
        <w:spacing w:line="360" w:lineRule="auto"/>
        <w:ind w:firstLine="470" w:firstLineChars="196"/>
        <w:rPr>
          <w:rFonts w:ascii="宋体" w:hAnsi="宋体" w:eastAsia="宋体" w:cs="宋体"/>
          <w:szCs w:val="21"/>
        </w:rPr>
      </w:pPr>
      <w:r>
        <w:rPr>
          <w:rFonts w:hint="eastAsia" w:ascii="宋体" w:hAnsi="宋体" w:eastAsia="宋体" w:cs="宋体"/>
          <w:szCs w:val="21"/>
        </w:rPr>
        <w:t>37.3.4经评审委员会认定评分畸高、畸低的。</w:t>
      </w:r>
    </w:p>
    <w:p w14:paraId="2C8A470A">
      <w:pPr>
        <w:spacing w:line="360" w:lineRule="auto"/>
        <w:ind w:firstLine="470" w:firstLineChars="196"/>
        <w:rPr>
          <w:rFonts w:ascii="宋体" w:hAnsi="宋体" w:eastAsia="宋体" w:cs="宋体"/>
          <w:szCs w:val="21"/>
        </w:rPr>
      </w:pPr>
      <w:r>
        <w:rPr>
          <w:rFonts w:hint="eastAsia" w:ascii="宋体" w:hAnsi="宋体" w:eastAsia="宋体" w:cs="宋体"/>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343EAA5">
      <w:pPr>
        <w:spacing w:line="360" w:lineRule="auto"/>
        <w:ind w:firstLine="470" w:firstLineChars="196"/>
        <w:rPr>
          <w:rFonts w:ascii="宋体" w:hAnsi="宋体" w:eastAsia="宋体" w:cs="宋体"/>
          <w:szCs w:val="21"/>
        </w:rPr>
      </w:pPr>
      <w:r>
        <w:rPr>
          <w:rFonts w:hint="eastAsia" w:ascii="宋体" w:hAnsi="宋体" w:eastAsia="宋体" w:cs="宋体"/>
          <w:szCs w:val="21"/>
        </w:rPr>
        <w:t>投标人对本条第一款情形提出质疑的，采购人或者采购代理机构可以组织原评审委员会进行重新评审，重新评审改变评审结果的，应当书面报告本级财政部门。</w:t>
      </w:r>
    </w:p>
    <w:p w14:paraId="05973512">
      <w:pPr>
        <w:spacing w:line="360" w:lineRule="auto"/>
        <w:ind w:firstLine="472" w:firstLineChars="196"/>
        <w:rPr>
          <w:rFonts w:ascii="宋体" w:hAnsi="宋体" w:eastAsia="宋体"/>
          <w:b/>
          <w:bCs/>
          <w:szCs w:val="21"/>
        </w:rPr>
      </w:pPr>
      <w:r>
        <w:rPr>
          <w:rFonts w:hint="eastAsia" w:ascii="宋体" w:hAnsi="宋体" w:eastAsia="宋体"/>
          <w:b/>
          <w:bCs/>
          <w:szCs w:val="21"/>
        </w:rPr>
        <w:t xml:space="preserve"> 37.4重新组建评审委员会的情形</w:t>
      </w:r>
    </w:p>
    <w:p w14:paraId="78BBE836">
      <w:pPr>
        <w:spacing w:line="360" w:lineRule="auto"/>
        <w:ind w:firstLine="470" w:firstLineChars="196"/>
        <w:rPr>
          <w:rFonts w:ascii="宋体" w:hAnsi="宋体" w:eastAsia="宋体" w:cs="宋体"/>
          <w:szCs w:val="21"/>
        </w:rPr>
      </w:pPr>
      <w:r>
        <w:rPr>
          <w:rFonts w:hint="eastAsia" w:ascii="宋体" w:hAnsi="宋体" w:eastAsia="宋体" w:cs="宋体"/>
          <w:szCs w:val="21"/>
        </w:rPr>
        <w:t>评审委员会或者其成员存在下列情形导致评审结果无效的，重新组建评审委员会进行评标，并书面报告本级财政部门：</w:t>
      </w:r>
    </w:p>
    <w:p w14:paraId="6B910567">
      <w:pPr>
        <w:spacing w:line="360" w:lineRule="auto"/>
        <w:ind w:firstLine="470" w:firstLineChars="196"/>
        <w:rPr>
          <w:rFonts w:ascii="宋体" w:hAnsi="宋体" w:eastAsia="宋体" w:cs="宋体"/>
          <w:szCs w:val="21"/>
        </w:rPr>
      </w:pPr>
      <w:r>
        <w:rPr>
          <w:rFonts w:hint="eastAsia" w:ascii="宋体" w:hAnsi="宋体" w:eastAsia="宋体" w:cs="宋体"/>
          <w:szCs w:val="21"/>
        </w:rPr>
        <w:t>37.4.1评审委员会组成不符合《政府采购货物和服务招标投标管理办法》规定的；</w:t>
      </w:r>
    </w:p>
    <w:p w14:paraId="4A5771C6">
      <w:pPr>
        <w:spacing w:line="360" w:lineRule="auto"/>
        <w:ind w:firstLine="470" w:firstLineChars="196"/>
        <w:rPr>
          <w:rFonts w:ascii="宋体" w:hAnsi="宋体" w:eastAsia="宋体" w:cs="宋体"/>
          <w:szCs w:val="21"/>
        </w:rPr>
      </w:pPr>
      <w:r>
        <w:rPr>
          <w:rFonts w:hint="eastAsia" w:ascii="宋体" w:hAnsi="宋体" w:eastAsia="宋体" w:cs="宋体"/>
          <w:szCs w:val="21"/>
        </w:rPr>
        <w:t>37.4.2有《政府采购货物和服务招标投标管理办法》第六十二条第一至五项情形的；</w:t>
      </w:r>
    </w:p>
    <w:p w14:paraId="15446B26">
      <w:pPr>
        <w:spacing w:line="360" w:lineRule="auto"/>
        <w:ind w:firstLine="470" w:firstLineChars="196"/>
        <w:rPr>
          <w:rFonts w:ascii="宋体" w:hAnsi="宋体" w:eastAsia="宋体" w:cs="宋体"/>
          <w:szCs w:val="21"/>
        </w:rPr>
      </w:pPr>
      <w:r>
        <w:rPr>
          <w:rFonts w:hint="eastAsia" w:ascii="宋体" w:hAnsi="宋体" w:eastAsia="宋体" w:cs="宋体"/>
          <w:szCs w:val="21"/>
        </w:rPr>
        <w:t>37.4.3评审委员会及其成员独立评标受到非法干预的；</w:t>
      </w:r>
    </w:p>
    <w:p w14:paraId="122F4178">
      <w:pPr>
        <w:spacing w:line="360" w:lineRule="auto"/>
        <w:ind w:firstLine="470" w:firstLineChars="196"/>
        <w:rPr>
          <w:rFonts w:ascii="宋体" w:hAnsi="宋体" w:eastAsia="宋体" w:cs="宋体"/>
          <w:szCs w:val="21"/>
        </w:rPr>
      </w:pPr>
      <w:r>
        <w:rPr>
          <w:rFonts w:hint="eastAsia" w:ascii="宋体" w:hAnsi="宋体" w:eastAsia="宋体" w:cs="宋体"/>
          <w:szCs w:val="21"/>
        </w:rPr>
        <w:t>37.4.4有政府采购法实施条例第七十五条规定的违法行为的。</w:t>
      </w:r>
    </w:p>
    <w:p w14:paraId="2FDAF6CB">
      <w:pPr>
        <w:spacing w:line="360" w:lineRule="auto"/>
        <w:ind w:firstLine="470" w:firstLineChars="196"/>
        <w:rPr>
          <w:rFonts w:ascii="宋体" w:hAnsi="宋体" w:eastAsia="宋体" w:cs="宋体"/>
          <w:szCs w:val="21"/>
        </w:rPr>
      </w:pPr>
      <w:r>
        <w:rPr>
          <w:rFonts w:hint="eastAsia" w:ascii="宋体" w:hAnsi="宋体" w:eastAsia="宋体" w:cs="宋体"/>
          <w:szCs w:val="21"/>
        </w:rPr>
        <w:t>有违法违规行为的原评审委员会成员不得参加重新组建的评审委员会。</w:t>
      </w:r>
    </w:p>
    <w:p w14:paraId="2B3A6821">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40A520B4">
      <w:pPr>
        <w:spacing w:line="360" w:lineRule="auto"/>
        <w:rPr>
          <w:rFonts w:ascii="黑体" w:hAnsi="宋体" w:eastAsia="黑体"/>
        </w:rPr>
      </w:pPr>
      <w:r>
        <w:rPr>
          <w:rFonts w:hint="eastAsia" w:ascii="黑体" w:hAnsi="宋体" w:eastAsia="黑体"/>
        </w:rPr>
        <w:t>38．定标方法</w:t>
      </w:r>
    </w:p>
    <w:p w14:paraId="44F4700E">
      <w:pPr>
        <w:spacing w:line="360" w:lineRule="auto"/>
        <w:ind w:firstLine="470" w:firstLineChars="196"/>
        <w:rPr>
          <w:rFonts w:ascii="宋体" w:hAnsi="宋体" w:eastAsia="宋体"/>
          <w:szCs w:val="21"/>
        </w:rPr>
      </w:pPr>
      <w:bookmarkStart w:id="857" w:name="_Hlk73782795"/>
      <w:r>
        <w:rPr>
          <w:rFonts w:hint="eastAsia" w:ascii="宋体" w:hAnsi="宋体" w:eastAsia="宋体"/>
          <w:szCs w:val="21"/>
        </w:rPr>
        <w:t>38.1非评定分离项目定标方法</w:t>
      </w:r>
    </w:p>
    <w:p w14:paraId="5D2EEE2D">
      <w:pPr>
        <w:spacing w:line="360" w:lineRule="auto"/>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1.1评审委员会依据本项目招标文件所约定的评审方法进行评审和比较，向招标代理机构提交书面评审报告，并根据评审方法比较评价结果从优到劣进行排序，确定候选中标供应商。</w:t>
      </w:r>
    </w:p>
    <w:p w14:paraId="52B6E4BD">
      <w:pPr>
        <w:spacing w:line="360" w:lineRule="auto"/>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858"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858"/>
      <w:r>
        <w:rPr>
          <w:rFonts w:ascii="ˎ̥" w:hAnsi="ˎ̥" w:eastAsia="宋体"/>
        </w:rPr>
        <w:t>）。</w:t>
      </w:r>
    </w:p>
    <w:p w14:paraId="601AD28B">
      <w:pPr>
        <w:spacing w:line="360" w:lineRule="auto"/>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p w14:paraId="72216058">
      <w:pPr>
        <w:spacing w:line="360" w:lineRule="auto"/>
        <w:ind w:firstLine="470" w:firstLineChars="196"/>
        <w:rPr>
          <w:rFonts w:ascii="宋体" w:hAnsi="宋体" w:eastAsia="宋体"/>
          <w:szCs w:val="21"/>
        </w:rPr>
      </w:pPr>
      <w:r>
        <w:rPr>
          <w:rFonts w:hint="eastAsia" w:ascii="宋体" w:hAnsi="宋体" w:eastAsia="宋体"/>
          <w:szCs w:val="21"/>
        </w:rPr>
        <w:t>38.2评定分离项目定标方法</w:t>
      </w:r>
    </w:p>
    <w:p w14:paraId="2DFF16A2">
      <w:pPr>
        <w:spacing w:line="360" w:lineRule="auto"/>
        <w:ind w:firstLine="470" w:firstLineChars="196"/>
        <w:rPr>
          <w:rFonts w:ascii="宋体" w:hAnsi="宋体" w:eastAsia="宋体"/>
          <w:szCs w:val="21"/>
        </w:rPr>
      </w:pPr>
      <w:r>
        <w:rPr>
          <w:rFonts w:hint="eastAsia" w:ascii="宋体" w:hAnsi="宋体" w:eastAsia="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C810216">
      <w:pPr>
        <w:spacing w:line="360" w:lineRule="auto"/>
        <w:ind w:firstLine="470" w:firstLineChars="196"/>
        <w:rPr>
          <w:rFonts w:ascii="宋体" w:hAnsi="宋体" w:eastAsia="宋体"/>
          <w:szCs w:val="21"/>
        </w:rPr>
      </w:pPr>
      <w:r>
        <w:rPr>
          <w:rFonts w:ascii="宋体" w:hAnsi="宋体" w:eastAsia="宋体"/>
          <w:szCs w:val="21"/>
        </w:rPr>
        <w:t xml:space="preserve">38.2.2 </w:t>
      </w:r>
      <w:bookmarkStart w:id="859" w:name="_Hlk71469733"/>
      <w:r>
        <w:rPr>
          <w:rFonts w:eastAsia="宋体"/>
        </w:rPr>
        <w:t>适用评定分离的政府采购项目，采用综合评分法评</w:t>
      </w:r>
      <w:r>
        <w:rPr>
          <w:rFonts w:hint="eastAsia" w:eastAsia="宋体"/>
        </w:rPr>
        <w:t>审。</w:t>
      </w:r>
      <w:r>
        <w:rPr>
          <w:rFonts w:hint="eastAsia" w:ascii="宋体" w:hAnsi="宋体" w:eastAsia="宋体"/>
          <w:szCs w:val="21"/>
        </w:rPr>
        <w:t>评审委员会按照评审结果，推荐</w:t>
      </w:r>
      <w:r>
        <w:rPr>
          <w:rFonts w:eastAsia="宋体"/>
        </w:rPr>
        <w:t>三个合格的候选中标供应商。</w:t>
      </w:r>
    </w:p>
    <w:p w14:paraId="0C48EC95">
      <w:pPr>
        <w:spacing w:line="360" w:lineRule="auto"/>
        <w:ind w:firstLine="470" w:firstLineChars="196"/>
        <w:rPr>
          <w:rFonts w:ascii="宋体" w:hAnsi="宋体" w:eastAsia="宋体"/>
          <w:szCs w:val="21"/>
        </w:rPr>
      </w:pPr>
      <w:r>
        <w:rPr>
          <w:rFonts w:hint="eastAsia" w:ascii="宋体" w:hAnsi="宋体" w:eastAsia="宋体"/>
          <w:szCs w:val="21"/>
        </w:rPr>
        <w:t>38.2.3</w:t>
      </w:r>
      <w:bookmarkStart w:id="860" w:name="_Hlk71469688"/>
      <w:r>
        <w:rPr>
          <w:rFonts w:eastAsia="宋体"/>
        </w:rPr>
        <w:t>适用评定分离的政府采购项目，</w:t>
      </w:r>
      <w:r>
        <w:rPr>
          <w:rFonts w:hint="eastAsia" w:ascii="宋体" w:hAnsi="宋体" w:eastAsia="宋体"/>
          <w:szCs w:val="21"/>
        </w:rPr>
        <w:t>按照自定法确定中标供应商：自定法是指采购人组织定标委员会，由定标委员会在三家候选中标供应商中确定中标供应商。</w:t>
      </w:r>
      <w:bookmarkEnd w:id="859"/>
      <w:bookmarkEnd w:id="860"/>
    </w:p>
    <w:p w14:paraId="06727B32">
      <w:pPr>
        <w:spacing w:line="360" w:lineRule="auto"/>
        <w:ind w:firstLine="470" w:firstLineChars="196"/>
        <w:rPr>
          <w:rFonts w:ascii="宋体" w:hAnsi="宋体" w:eastAsia="宋体"/>
          <w:szCs w:val="21"/>
        </w:rPr>
      </w:pPr>
      <w:r>
        <w:rPr>
          <w:rFonts w:ascii="宋体" w:hAnsi="宋体" w:eastAsia="宋体"/>
          <w:szCs w:val="21"/>
        </w:rPr>
        <w:t>38.2.4</w:t>
      </w:r>
      <w:r>
        <w:rPr>
          <w:rFonts w:hint="eastAsia" w:ascii="宋体" w:hAnsi="宋体" w:eastAsia="宋体"/>
          <w:szCs w:val="21"/>
        </w:rPr>
        <w:t>招标代理机构</w:t>
      </w:r>
      <w:r>
        <w:rPr>
          <w:rFonts w:eastAsia="宋体"/>
        </w:rPr>
        <w:t>应当自评审结束之日起两个工作日内将候选中标供应商名单及其投标文件、评审报告送交采购人</w:t>
      </w:r>
      <w:r>
        <w:rPr>
          <w:rFonts w:hint="eastAsia" w:ascii="宋体" w:hAnsi="宋体" w:eastAsia="宋体"/>
          <w:szCs w:val="21"/>
        </w:rPr>
        <w:t>。</w:t>
      </w:r>
      <w:r>
        <w:rPr>
          <w:rFonts w:eastAsia="宋体"/>
        </w:rPr>
        <w:t>采购人应当安排专人对定标过程进行书面记录，形成定标报告，作为采购文件的组成部分存档，并及时将定标结果反馈</w:t>
      </w:r>
      <w:r>
        <w:rPr>
          <w:rFonts w:hint="eastAsia" w:eastAsia="宋体"/>
        </w:rPr>
        <w:t>招标代理机构。具体定标程序及相关要求以按照《</w:t>
      </w:r>
      <w:r>
        <w:rPr>
          <w:rFonts w:eastAsia="宋体"/>
        </w:rPr>
        <w:t>深圳市财政局关于印发</w:t>
      </w:r>
      <w:r>
        <w:rPr>
          <w:rFonts w:hint="eastAsia" w:ascii="宋体" w:hAnsi="宋体" w:eastAsia="宋体"/>
        </w:rPr>
        <w:t>〈</w:t>
      </w:r>
      <w:r>
        <w:rPr>
          <w:rFonts w:eastAsia="宋体"/>
        </w:rPr>
        <w:t>深圳市政府采购评标定标分离管理办法</w:t>
      </w:r>
      <w:r>
        <w:rPr>
          <w:rFonts w:hint="eastAsia" w:ascii="宋体" w:hAnsi="宋体" w:eastAsia="宋体"/>
        </w:rPr>
        <w:t>〉</w:t>
      </w:r>
      <w:r>
        <w:rPr>
          <w:rFonts w:eastAsia="宋体"/>
        </w:rPr>
        <w:t>的通知</w:t>
      </w:r>
      <w:r>
        <w:rPr>
          <w:rFonts w:hint="eastAsia" w:eastAsia="宋体"/>
        </w:rPr>
        <w:t>》（深财规【2</w:t>
      </w:r>
      <w:r>
        <w:rPr>
          <w:rFonts w:eastAsia="宋体"/>
        </w:rPr>
        <w:t>020</w:t>
      </w:r>
      <w:r>
        <w:rPr>
          <w:rFonts w:hint="eastAsia" w:eastAsia="宋体"/>
        </w:rPr>
        <w:t>】1号）执行。</w:t>
      </w:r>
    </w:p>
    <w:p w14:paraId="4C9E9E2A">
      <w:pPr>
        <w:spacing w:line="360" w:lineRule="auto"/>
        <w:ind w:firstLine="470" w:firstLineChars="196"/>
        <w:rPr>
          <w:rFonts w:ascii="宋体" w:hAnsi="宋体" w:eastAsia="宋体"/>
          <w:szCs w:val="21"/>
        </w:rPr>
      </w:pPr>
      <w:r>
        <w:rPr>
          <w:rFonts w:hint="eastAsia" w:ascii="宋体" w:hAnsi="宋体" w:eastAsia="宋体"/>
          <w:szCs w:val="21"/>
        </w:rPr>
        <w:t>说明：采购人及投标供应商应按照上述方法提前做好相关准备。</w:t>
      </w:r>
    </w:p>
    <w:p w14:paraId="609DDC02">
      <w:pPr>
        <w:spacing w:line="360" w:lineRule="auto"/>
        <w:ind w:firstLine="470" w:firstLineChars="196"/>
        <w:rPr>
          <w:rFonts w:ascii="宋体" w:hAnsi="宋体" w:eastAsia="宋体"/>
          <w:szCs w:val="21"/>
        </w:rPr>
      </w:pPr>
      <w:r>
        <w:rPr>
          <w:rFonts w:hint="eastAsia" w:ascii="宋体" w:hAnsi="宋体" w:eastAsia="宋体"/>
          <w:szCs w:val="21"/>
        </w:rPr>
        <w:t>38.3专用条款另有规定的，按专用条款相关要求定标。</w:t>
      </w:r>
      <w:bookmarkEnd w:id="857"/>
    </w:p>
    <w:p w14:paraId="3330784E">
      <w:pPr>
        <w:spacing w:line="360" w:lineRule="auto"/>
        <w:rPr>
          <w:rFonts w:ascii="黑体" w:hAnsi="宋体" w:eastAsia="黑体"/>
        </w:rPr>
      </w:pPr>
      <w:r>
        <w:rPr>
          <w:rFonts w:hint="eastAsia" w:ascii="黑体" w:hAnsi="宋体" w:eastAsia="黑体"/>
        </w:rPr>
        <w:t>39．编写评审报告</w:t>
      </w:r>
    </w:p>
    <w:p w14:paraId="1B7EB325">
      <w:pPr>
        <w:spacing w:line="360" w:lineRule="auto"/>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86D98EC">
      <w:pPr>
        <w:spacing w:line="360" w:lineRule="auto"/>
        <w:rPr>
          <w:rFonts w:ascii="黑体" w:hAnsi="宋体" w:eastAsia="黑体"/>
        </w:rPr>
      </w:pPr>
      <w:r>
        <w:rPr>
          <w:rFonts w:hint="eastAsia" w:ascii="黑体" w:hAnsi="宋体" w:eastAsia="黑体"/>
        </w:rPr>
        <w:t>40．中标公告</w:t>
      </w:r>
    </w:p>
    <w:p w14:paraId="2EC4CADB">
      <w:pPr>
        <w:spacing w:line="360" w:lineRule="auto"/>
        <w:ind w:firstLine="470" w:firstLineChars="196"/>
        <w:rPr>
          <w:rFonts w:ascii="宋体" w:hAnsi="宋体" w:eastAsia="宋体"/>
          <w:szCs w:val="21"/>
        </w:rPr>
      </w:pPr>
      <w:r>
        <w:rPr>
          <w:rFonts w:hint="eastAsia" w:ascii="宋体" w:hAnsi="宋体" w:eastAsia="宋体"/>
          <w:szCs w:val="21"/>
        </w:rPr>
        <w:t>40.1</w:t>
      </w:r>
      <w:bookmarkStart w:id="861" w:name="_Hlk72438709"/>
      <w:r>
        <w:rPr>
          <w:rFonts w:hint="eastAsia" w:ascii="宋体" w:hAnsi="宋体" w:eastAsia="宋体"/>
          <w:szCs w:val="21"/>
        </w:rPr>
        <w:t>为体现“公开、公平、公正”的原则，评审结束后经采购人确认（确定）评审结果，招标代理机构将在</w:t>
      </w:r>
      <w:r>
        <w:rPr>
          <w:rFonts w:hint="eastAsia" w:ascii="宋体" w:hAnsi="宋体" w:eastAsia="宋体"/>
          <w:b/>
          <w:bCs/>
          <w:szCs w:val="21"/>
        </w:rPr>
        <w:t>深圳公共资源交易中心网站</w:t>
      </w:r>
      <w:r>
        <w:rPr>
          <w:rFonts w:hint="eastAsia" w:ascii="宋体" w:hAnsi="宋体" w:eastAsia="宋体"/>
          <w:szCs w:val="21"/>
        </w:rPr>
        <w:t>上发布中标结果公告。</w:t>
      </w:r>
      <w:bookmarkEnd w:id="861"/>
      <w:bookmarkStart w:id="86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rPr>
        <w:t>招标代理机构</w:t>
      </w:r>
      <w:r>
        <w:rPr>
          <w:rFonts w:ascii="宋体" w:hAnsi="宋体" w:eastAsia="宋体"/>
          <w:szCs w:val="21"/>
        </w:rPr>
        <w:t>提出。</w:t>
      </w:r>
      <w:r>
        <w:rPr>
          <w:rFonts w:hint="eastAsia" w:ascii="宋体" w:hAnsi="宋体" w:eastAsia="宋体"/>
          <w:szCs w:val="21"/>
        </w:rPr>
        <w:t>若在公示期内未提出质疑，则视为认同该评审结果。</w:t>
      </w:r>
      <w:bookmarkEnd w:id="862"/>
    </w:p>
    <w:p w14:paraId="650045D4">
      <w:pPr>
        <w:spacing w:line="360" w:lineRule="auto"/>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1AFFC261">
      <w:pPr>
        <w:spacing w:line="360" w:lineRule="auto"/>
        <w:rPr>
          <w:rFonts w:ascii="黑体" w:hAnsi="宋体" w:eastAsia="黑体"/>
        </w:rPr>
      </w:pPr>
      <w:r>
        <w:rPr>
          <w:rFonts w:hint="eastAsia" w:ascii="黑体" w:hAnsi="宋体" w:eastAsia="黑体"/>
        </w:rPr>
        <w:t>41．中标通知书</w:t>
      </w:r>
    </w:p>
    <w:p w14:paraId="0748F67F">
      <w:pPr>
        <w:spacing w:line="360" w:lineRule="auto"/>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w:t>
      </w:r>
      <w:bookmarkStart w:id="863" w:name="_Hlk72438863"/>
      <w:r>
        <w:rPr>
          <w:rFonts w:hint="eastAsia" w:asciiTheme="majorEastAsia" w:hAnsiTheme="majorEastAsia" w:eastAsiaTheme="majorEastAsia"/>
          <w:szCs w:val="21"/>
        </w:rPr>
        <w:t>中标公告公布以后无异常的情况下,采购代理机构将向中标供应商和采购人发出中标通知书</w:t>
      </w:r>
      <w:r>
        <w:rPr>
          <w:rFonts w:hint="eastAsia" w:ascii="宋体" w:hAnsi="宋体" w:eastAsia="宋体"/>
          <w:szCs w:val="21"/>
        </w:rPr>
        <w:t>。</w:t>
      </w:r>
      <w:bookmarkEnd w:id="863"/>
    </w:p>
    <w:p w14:paraId="054EE733">
      <w:pPr>
        <w:spacing w:line="360" w:lineRule="auto"/>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1E3DD41A">
      <w:pPr>
        <w:spacing w:line="360" w:lineRule="auto"/>
        <w:ind w:firstLine="470" w:firstLineChars="196"/>
        <w:rPr>
          <w:rFonts w:ascii="宋体" w:hAnsi="宋体" w:eastAsia="宋体"/>
          <w:szCs w:val="21"/>
        </w:rPr>
      </w:pPr>
      <w:bookmarkStart w:id="864" w:name="_Hlk71407340"/>
      <w:r>
        <w:rPr>
          <w:rFonts w:hint="eastAsia" w:ascii="宋体" w:hAnsi="宋体" w:eastAsia="宋体"/>
          <w:szCs w:val="21"/>
        </w:rPr>
        <w:t>41.3因质疑投诉或其它原因导致项目结果变更或采购终止的，招标代理机构有权吊销中标通知书。</w:t>
      </w:r>
      <w:bookmarkEnd w:id="864"/>
    </w:p>
    <w:p w14:paraId="13E87CBE">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1FEC31D5">
      <w:pPr>
        <w:spacing w:line="360" w:lineRule="auto"/>
        <w:rPr>
          <w:rFonts w:ascii="黑体" w:hAnsi="宋体" w:eastAsia="黑体"/>
        </w:rPr>
      </w:pPr>
      <w:r>
        <w:rPr>
          <w:rFonts w:hint="eastAsia" w:ascii="黑体" w:hAnsi="宋体" w:eastAsia="黑体"/>
        </w:rPr>
        <w:t>42．公开招标失败的处理</w:t>
      </w:r>
    </w:p>
    <w:p w14:paraId="180E9D2B">
      <w:pPr>
        <w:spacing w:line="360" w:lineRule="auto"/>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cs="宋体"/>
        </w:rPr>
        <w:t>招标代理机构</w:t>
      </w:r>
      <w:r>
        <w:rPr>
          <w:rFonts w:hint="eastAsia" w:ascii="宋体" w:hAnsi="宋体" w:eastAsia="宋体"/>
        </w:rPr>
        <w:t>重新组织采购。</w:t>
      </w:r>
    </w:p>
    <w:p w14:paraId="7FB06FF1">
      <w:pPr>
        <w:spacing w:line="360" w:lineRule="auto"/>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20DC3611">
      <w:pPr>
        <w:spacing w:line="360" w:lineRule="auto"/>
        <w:ind w:firstLine="470" w:firstLineChars="196"/>
        <w:rPr>
          <w:rFonts w:ascii="宋体" w:hAnsi="宋体" w:eastAsia="宋体"/>
          <w:szCs w:val="21"/>
        </w:rPr>
      </w:pPr>
      <w:r>
        <w:rPr>
          <w:rFonts w:hint="eastAsia" w:ascii="宋体" w:hAnsi="宋体" w:eastAsia="宋体"/>
          <w:szCs w:val="21"/>
        </w:rPr>
        <w:t>42.3重新组织采购有以下两种组织形式：</w:t>
      </w:r>
    </w:p>
    <w:p w14:paraId="326B8B3D">
      <w:pPr>
        <w:spacing w:line="360" w:lineRule="auto"/>
        <w:ind w:firstLine="470" w:firstLineChars="196"/>
        <w:rPr>
          <w:rFonts w:ascii="宋体" w:hAnsi="宋体" w:eastAsia="宋体"/>
        </w:rPr>
      </w:pPr>
      <w:r>
        <w:rPr>
          <w:rFonts w:hint="eastAsia" w:ascii="宋体" w:hAnsi="宋体" w:eastAsia="宋体"/>
        </w:rPr>
        <w:t>（1）由招标代理机构重新组织公开招标；</w:t>
      </w:r>
    </w:p>
    <w:p w14:paraId="36BD40AE">
      <w:pPr>
        <w:spacing w:line="360" w:lineRule="auto"/>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0974A902">
      <w:pPr>
        <w:spacing w:line="360" w:lineRule="auto"/>
        <w:ind w:firstLine="470" w:firstLineChars="196"/>
        <w:rPr>
          <w:rFonts w:ascii="宋体" w:hAnsi="宋体" w:eastAsia="宋体"/>
        </w:rPr>
      </w:pPr>
      <w:r>
        <w:rPr>
          <w:rFonts w:hint="eastAsia" w:ascii="宋体" w:hAnsi="宋体" w:eastAsia="宋体"/>
        </w:rPr>
        <w:t>42.4公开招标失败的采购项目重新组织公开招标，由招标代理机构重新按公开招标流程组织采购活动。</w:t>
      </w:r>
    </w:p>
    <w:p w14:paraId="776F08CD">
      <w:pPr>
        <w:spacing w:line="360" w:lineRule="auto"/>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306075A7">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bookmarkStart w:id="865" w:name="_Hlk72439043"/>
      <w:r>
        <w:rPr>
          <w:rFonts w:hint="eastAsia" w:asciiTheme="majorHAnsi" w:hAnsiTheme="majorHAnsi" w:eastAsiaTheme="majorEastAsia" w:cstheme="majorBidi"/>
          <w:b/>
          <w:bCs/>
          <w:sz w:val="28"/>
          <w:szCs w:val="28"/>
        </w:rPr>
        <w:t>合同的授予与备案</w:t>
      </w:r>
      <w:bookmarkEnd w:id="865"/>
    </w:p>
    <w:p w14:paraId="734D9579">
      <w:pPr>
        <w:spacing w:line="360" w:lineRule="auto"/>
        <w:rPr>
          <w:rFonts w:ascii="黑体" w:hAnsi="宋体" w:eastAsia="黑体"/>
        </w:rPr>
      </w:pPr>
      <w:bookmarkStart w:id="866" w:name="_Toc73518157"/>
      <w:bookmarkStart w:id="867" w:name="_Toc100052408"/>
      <w:bookmarkStart w:id="868" w:name="_Toc73517679"/>
      <w:bookmarkStart w:id="869" w:name="_Toc73521586"/>
      <w:bookmarkStart w:id="870" w:name="_Toc73521674"/>
      <w:bookmarkStart w:id="871" w:name="_Hlk72439088"/>
      <w:r>
        <w:rPr>
          <w:rFonts w:hint="eastAsia" w:ascii="黑体" w:hAnsi="宋体" w:eastAsia="黑体"/>
        </w:rPr>
        <w:t>43．合同授予标准</w:t>
      </w:r>
      <w:bookmarkEnd w:id="866"/>
      <w:bookmarkEnd w:id="867"/>
      <w:bookmarkEnd w:id="868"/>
      <w:bookmarkEnd w:id="869"/>
      <w:bookmarkEnd w:id="870"/>
    </w:p>
    <w:p w14:paraId="7F4E35E0">
      <w:pPr>
        <w:spacing w:line="360" w:lineRule="auto"/>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D0F881">
      <w:pPr>
        <w:spacing w:line="360" w:lineRule="auto"/>
        <w:rPr>
          <w:rFonts w:ascii="黑体" w:hAnsi="宋体" w:eastAsia="黑体"/>
        </w:rPr>
      </w:pPr>
      <w:bookmarkStart w:id="872" w:name="_Toc73521675"/>
      <w:bookmarkStart w:id="873" w:name="_Toc73521587"/>
      <w:bookmarkStart w:id="874" w:name="_Toc73518158"/>
      <w:bookmarkStart w:id="875" w:name="_Toc73517680"/>
      <w:bookmarkStart w:id="876" w:name="_Toc100052409"/>
      <w:r>
        <w:rPr>
          <w:rFonts w:hint="eastAsia" w:ascii="黑体" w:hAnsi="宋体" w:eastAsia="黑体"/>
        </w:rPr>
        <w:t>44．</w:t>
      </w:r>
      <w:bookmarkEnd w:id="872"/>
      <w:bookmarkEnd w:id="873"/>
      <w:bookmarkEnd w:id="874"/>
      <w:bookmarkEnd w:id="875"/>
      <w:bookmarkEnd w:id="876"/>
      <w:r>
        <w:rPr>
          <w:rFonts w:hint="eastAsia" w:ascii="黑体" w:hAnsi="宋体" w:eastAsia="黑体"/>
        </w:rPr>
        <w:t>接受和拒绝任何或所有投标的权力</w:t>
      </w:r>
    </w:p>
    <w:p w14:paraId="3A9B5273">
      <w:pPr>
        <w:spacing w:line="360" w:lineRule="auto"/>
        <w:ind w:firstLine="470" w:firstLineChars="196"/>
        <w:rPr>
          <w:rFonts w:ascii="宋体" w:hAnsi="宋体" w:eastAsia="宋体"/>
          <w:szCs w:val="21"/>
        </w:rPr>
      </w:pPr>
      <w:r>
        <w:rPr>
          <w:rFonts w:hint="eastAsia" w:ascii="宋体" w:hAnsi="宋体" w:eastAsia="宋体"/>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E5B9419">
      <w:pPr>
        <w:spacing w:line="360" w:lineRule="auto"/>
        <w:rPr>
          <w:rFonts w:ascii="黑体" w:hAnsi="宋体" w:eastAsia="黑体"/>
        </w:rPr>
      </w:pPr>
      <w:bookmarkStart w:id="877" w:name="_Toc73517682"/>
      <w:bookmarkStart w:id="878" w:name="_Toc73521677"/>
      <w:bookmarkStart w:id="879" w:name="_Toc73518160"/>
      <w:bookmarkStart w:id="880" w:name="_Toc73521589"/>
      <w:bookmarkStart w:id="881" w:name="_Toc100052410"/>
      <w:r>
        <w:rPr>
          <w:rFonts w:hint="eastAsia" w:ascii="黑体" w:hAnsi="宋体" w:eastAsia="黑体"/>
        </w:rPr>
        <w:t>45．合同的签订</w:t>
      </w:r>
      <w:bookmarkEnd w:id="877"/>
      <w:bookmarkEnd w:id="878"/>
      <w:bookmarkEnd w:id="879"/>
      <w:bookmarkEnd w:id="880"/>
      <w:bookmarkEnd w:id="881"/>
    </w:p>
    <w:p w14:paraId="61DD48CB">
      <w:pPr>
        <w:spacing w:line="360" w:lineRule="auto"/>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1B68B732">
      <w:pPr>
        <w:spacing w:line="360" w:lineRule="auto"/>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77147204">
      <w:pPr>
        <w:spacing w:line="360" w:lineRule="auto"/>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2F4D5AB0">
      <w:pPr>
        <w:spacing w:line="360" w:lineRule="auto"/>
        <w:rPr>
          <w:rFonts w:ascii="黑体" w:hAnsi="宋体" w:eastAsia="黑体"/>
        </w:rPr>
      </w:pPr>
      <w:bookmarkStart w:id="882" w:name="_Toc73517683"/>
      <w:bookmarkStart w:id="883" w:name="_Toc100052411"/>
      <w:bookmarkStart w:id="884" w:name="_Toc73518161"/>
      <w:bookmarkStart w:id="885" w:name="_Toc73521678"/>
      <w:bookmarkStart w:id="886" w:name="_Toc73521590"/>
      <w:r>
        <w:rPr>
          <w:rFonts w:hint="eastAsia" w:ascii="黑体" w:hAnsi="宋体" w:eastAsia="黑体"/>
        </w:rPr>
        <w:t>46．履约担保</w:t>
      </w:r>
      <w:bookmarkEnd w:id="882"/>
      <w:bookmarkEnd w:id="883"/>
      <w:bookmarkEnd w:id="884"/>
      <w:bookmarkEnd w:id="885"/>
      <w:bookmarkEnd w:id="886"/>
    </w:p>
    <w:p w14:paraId="5D36B3AC">
      <w:pPr>
        <w:spacing w:line="360" w:lineRule="auto"/>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362DDEA1">
      <w:pPr>
        <w:spacing w:line="360" w:lineRule="auto"/>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6A6AFFFE">
      <w:pPr>
        <w:spacing w:line="360" w:lineRule="auto"/>
        <w:rPr>
          <w:rFonts w:ascii="黑体" w:hAnsi="宋体" w:eastAsia="黑体"/>
        </w:rPr>
      </w:pPr>
      <w:r>
        <w:rPr>
          <w:rFonts w:hint="eastAsia" w:ascii="黑体" w:hAnsi="宋体" w:eastAsia="黑体"/>
        </w:rPr>
        <w:t>47. 合同备案</w:t>
      </w:r>
    </w:p>
    <w:p w14:paraId="6DF9B3E6">
      <w:pPr>
        <w:spacing w:line="360" w:lineRule="auto"/>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采购人与中标人应于合同签订之日起十日内，由采购人或委托中标人将采购合同副本抄送合同备案工作实施机构备案。</w:t>
      </w:r>
    </w:p>
    <w:p w14:paraId="24B56A39">
      <w:pPr>
        <w:spacing w:line="360" w:lineRule="auto"/>
        <w:rPr>
          <w:rFonts w:ascii="黑体" w:hAnsi="宋体" w:eastAsia="黑体"/>
        </w:rPr>
      </w:pPr>
      <w:r>
        <w:rPr>
          <w:rFonts w:hint="eastAsia" w:ascii="黑体" w:hAnsi="宋体" w:eastAsia="黑体"/>
        </w:rPr>
        <w:t>48. 合同变更</w:t>
      </w:r>
    </w:p>
    <w:p w14:paraId="6AEB6CAB">
      <w:pPr>
        <w:spacing w:line="360" w:lineRule="auto"/>
        <w:ind w:firstLine="470" w:firstLineChars="196"/>
        <w:rPr>
          <w:rFonts w:ascii="宋体" w:hAnsi="宋体" w:eastAsia="宋体"/>
          <w:szCs w:val="21"/>
        </w:rPr>
      </w:pPr>
      <w:r>
        <w:rPr>
          <w:rFonts w:hint="eastAsia" w:ascii="宋体" w:hAnsi="宋体" w:eastAsia="宋体"/>
          <w:szCs w:val="21"/>
        </w:rPr>
        <w:t>合同变更事宜按深圳市各区财政局相关规定执行。</w:t>
      </w:r>
    </w:p>
    <w:p w14:paraId="58F967A2">
      <w:pPr>
        <w:spacing w:line="360" w:lineRule="auto"/>
        <w:rPr>
          <w:rFonts w:ascii="黑体" w:hAnsi="宋体" w:eastAsia="黑体"/>
        </w:rPr>
      </w:pPr>
      <w:r>
        <w:rPr>
          <w:rFonts w:hint="eastAsia" w:ascii="黑体" w:hAnsi="宋体" w:eastAsia="黑体"/>
        </w:rPr>
        <w:t>49. 项目验收</w:t>
      </w:r>
    </w:p>
    <w:p w14:paraId="7D4F8847">
      <w:pPr>
        <w:spacing w:line="360" w:lineRule="auto"/>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21A6E4CA">
      <w:pPr>
        <w:spacing w:line="360" w:lineRule="auto"/>
        <w:rPr>
          <w:rFonts w:ascii="黑体" w:hAnsi="宋体" w:eastAsia="黑体"/>
        </w:rPr>
      </w:pPr>
      <w:r>
        <w:rPr>
          <w:rFonts w:hint="eastAsia" w:ascii="黑体" w:hAnsi="宋体" w:eastAsia="黑体"/>
        </w:rPr>
        <w:t>50. 宣传</w:t>
      </w:r>
    </w:p>
    <w:p w14:paraId="6216E3DD">
      <w:pPr>
        <w:spacing w:line="360" w:lineRule="auto"/>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招标代理机构</w:t>
      </w:r>
      <w:r>
        <w:rPr>
          <w:rFonts w:ascii="宋体" w:hAnsi="宋体" w:eastAsia="宋体"/>
        </w:rPr>
        <w:t>，并征得其同意。对外市场宣传包括但不限于以下形式：</w:t>
      </w:r>
    </w:p>
    <w:p w14:paraId="1BB64F1A">
      <w:pPr>
        <w:spacing w:line="360" w:lineRule="auto"/>
        <w:ind w:left="240" w:leftChars="100" w:firstLine="470" w:firstLineChars="196"/>
        <w:rPr>
          <w:rFonts w:ascii="宋体" w:hAnsi="宋体" w:eastAsia="宋体"/>
        </w:rPr>
      </w:pPr>
      <w:r>
        <w:rPr>
          <w:rFonts w:ascii="宋体" w:hAnsi="宋体" w:eastAsia="宋体"/>
        </w:rPr>
        <w:t>a.名片、宣传册、广告标语等；</w:t>
      </w:r>
    </w:p>
    <w:p w14:paraId="630B783B">
      <w:pPr>
        <w:spacing w:line="360" w:lineRule="auto"/>
        <w:ind w:left="240" w:leftChars="100" w:firstLine="470" w:firstLineChars="196"/>
        <w:rPr>
          <w:rFonts w:ascii="宋体" w:hAnsi="宋体" w:eastAsia="宋体"/>
        </w:rPr>
      </w:pPr>
      <w:r>
        <w:rPr>
          <w:rFonts w:ascii="宋体" w:hAnsi="宋体" w:eastAsia="宋体"/>
        </w:rPr>
        <w:t>b.案例介绍、推广等；</w:t>
      </w:r>
    </w:p>
    <w:p w14:paraId="3EF0F5B7">
      <w:pPr>
        <w:spacing w:line="360" w:lineRule="auto"/>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p w14:paraId="299A41F5">
      <w:pPr>
        <w:spacing w:line="360" w:lineRule="auto"/>
        <w:rPr>
          <w:rFonts w:ascii="黑体" w:hAnsi="宋体" w:eastAsia="黑体"/>
        </w:rPr>
      </w:pPr>
      <w:r>
        <w:rPr>
          <w:rFonts w:hint="eastAsia" w:ascii="黑体" w:hAnsi="宋体" w:eastAsia="黑体"/>
        </w:rPr>
        <w:t>51. 供应商违法责任</w:t>
      </w:r>
    </w:p>
    <w:p w14:paraId="6E603710">
      <w:pPr>
        <w:spacing w:line="360" w:lineRule="auto"/>
        <w:ind w:firstLine="470" w:firstLineChars="196"/>
        <w:rPr>
          <w:rFonts w:ascii="宋体" w:hAnsi="宋体" w:eastAsia="宋体"/>
          <w:szCs w:val="21"/>
        </w:rPr>
      </w:pPr>
      <w:r>
        <w:rPr>
          <w:rFonts w:hint="eastAsia" w:ascii="宋体" w:hAnsi="宋体" w:eastAsia="宋体"/>
          <w:szCs w:val="21"/>
        </w:rPr>
        <w:t>5</w:t>
      </w:r>
      <w:r>
        <w:rPr>
          <w:rFonts w:ascii="宋体" w:hAnsi="宋体" w:eastAsia="宋体"/>
          <w:szCs w:val="21"/>
        </w:rPr>
        <w:t>1.1</w:t>
      </w:r>
      <w:r>
        <w:rPr>
          <w:rFonts w:hint="eastAsia" w:ascii="宋体" w:hAnsi="宋体" w:eastAsia="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0F4F36D">
      <w:pPr>
        <w:spacing w:line="360" w:lineRule="auto"/>
        <w:ind w:firstLine="470" w:firstLineChars="196"/>
        <w:rPr>
          <w:rFonts w:ascii="宋体" w:hAnsi="宋体" w:eastAsia="宋体"/>
          <w:szCs w:val="21"/>
        </w:rPr>
      </w:pPr>
      <w:r>
        <w:rPr>
          <w:rFonts w:hint="eastAsia" w:ascii="宋体" w:hAnsi="宋体" w:eastAsia="宋体"/>
          <w:szCs w:val="21"/>
        </w:rPr>
        <w:t>（1）在采购活动中应当回避而未回避的；</w:t>
      </w:r>
    </w:p>
    <w:p w14:paraId="156D6D7D">
      <w:pPr>
        <w:spacing w:line="360" w:lineRule="auto"/>
        <w:ind w:firstLine="470" w:firstLineChars="196"/>
        <w:rPr>
          <w:rFonts w:ascii="宋体" w:hAnsi="宋体" w:eastAsia="宋体"/>
          <w:szCs w:val="21"/>
        </w:rPr>
      </w:pPr>
      <w:r>
        <w:rPr>
          <w:rFonts w:hint="eastAsia" w:ascii="宋体" w:hAnsi="宋体" w:eastAsia="宋体"/>
          <w:szCs w:val="21"/>
        </w:rPr>
        <w:t>（2）未按本条例规定签订、履行采购合同，造成严重后果的；</w:t>
      </w:r>
    </w:p>
    <w:p w14:paraId="3A37E939">
      <w:pPr>
        <w:spacing w:line="360" w:lineRule="auto"/>
        <w:ind w:firstLine="470" w:firstLineChars="196"/>
        <w:rPr>
          <w:rFonts w:ascii="宋体" w:hAnsi="宋体" w:eastAsia="宋体"/>
          <w:szCs w:val="21"/>
        </w:rPr>
      </w:pPr>
      <w:r>
        <w:rPr>
          <w:rFonts w:hint="eastAsia" w:ascii="宋体" w:hAnsi="宋体" w:eastAsia="宋体"/>
          <w:szCs w:val="21"/>
        </w:rPr>
        <w:t>（3）隐瞒真实情况，提供虚假资料的；</w:t>
      </w:r>
    </w:p>
    <w:p w14:paraId="4E4EA21B">
      <w:pPr>
        <w:spacing w:line="360" w:lineRule="auto"/>
        <w:ind w:firstLine="470" w:firstLineChars="196"/>
        <w:rPr>
          <w:rFonts w:ascii="宋体" w:hAnsi="宋体" w:eastAsia="宋体"/>
          <w:szCs w:val="21"/>
        </w:rPr>
      </w:pPr>
      <w:r>
        <w:rPr>
          <w:rFonts w:hint="eastAsia" w:ascii="宋体" w:hAnsi="宋体" w:eastAsia="宋体"/>
          <w:szCs w:val="21"/>
        </w:rPr>
        <w:t>（4）以非法手段排斥其他供应商参与竞争的；</w:t>
      </w:r>
    </w:p>
    <w:p w14:paraId="73D15754">
      <w:pPr>
        <w:spacing w:line="360" w:lineRule="auto"/>
        <w:ind w:firstLine="470" w:firstLineChars="196"/>
        <w:rPr>
          <w:rFonts w:ascii="宋体" w:hAnsi="宋体" w:eastAsia="宋体"/>
          <w:szCs w:val="21"/>
        </w:rPr>
      </w:pPr>
      <w:r>
        <w:rPr>
          <w:rFonts w:hint="eastAsia" w:ascii="宋体" w:hAnsi="宋体" w:eastAsia="宋体"/>
          <w:szCs w:val="21"/>
        </w:rPr>
        <w:t>（5）与其他采购参加人串通投标的；</w:t>
      </w:r>
    </w:p>
    <w:p w14:paraId="586C6DA1">
      <w:pPr>
        <w:spacing w:line="360" w:lineRule="auto"/>
        <w:ind w:firstLine="470" w:firstLineChars="196"/>
        <w:rPr>
          <w:rFonts w:ascii="宋体" w:hAnsi="宋体" w:eastAsia="宋体"/>
          <w:szCs w:val="21"/>
        </w:rPr>
      </w:pPr>
      <w:r>
        <w:rPr>
          <w:rFonts w:hint="eastAsia" w:ascii="宋体" w:hAnsi="宋体" w:eastAsia="宋体"/>
          <w:szCs w:val="21"/>
        </w:rPr>
        <w:t>（6）恶意投诉的；</w:t>
      </w:r>
    </w:p>
    <w:p w14:paraId="1A1C4E2B">
      <w:pPr>
        <w:spacing w:line="360" w:lineRule="auto"/>
        <w:ind w:firstLine="470" w:firstLineChars="196"/>
        <w:rPr>
          <w:rFonts w:ascii="宋体" w:hAnsi="宋体" w:eastAsia="宋体"/>
          <w:szCs w:val="21"/>
        </w:rPr>
      </w:pPr>
      <w:r>
        <w:rPr>
          <w:rFonts w:hint="eastAsia" w:ascii="宋体" w:hAnsi="宋体" w:eastAsia="宋体"/>
          <w:szCs w:val="21"/>
        </w:rPr>
        <w:t>（7）向采购项目相关人行贿或者提供其他不当利益的；</w:t>
      </w:r>
    </w:p>
    <w:p w14:paraId="7F803B0D">
      <w:pPr>
        <w:spacing w:line="360" w:lineRule="auto"/>
        <w:ind w:firstLine="470" w:firstLineChars="196"/>
        <w:rPr>
          <w:rFonts w:ascii="宋体" w:hAnsi="宋体" w:eastAsia="宋体"/>
          <w:szCs w:val="21"/>
        </w:rPr>
      </w:pPr>
      <w:r>
        <w:rPr>
          <w:rFonts w:hint="eastAsia" w:ascii="宋体" w:hAnsi="宋体" w:eastAsia="宋体"/>
          <w:szCs w:val="21"/>
        </w:rPr>
        <w:t>（8）阻碍、抗拒主管部门监督检查的；</w:t>
      </w:r>
    </w:p>
    <w:p w14:paraId="5C509FE6">
      <w:pPr>
        <w:spacing w:line="360" w:lineRule="auto"/>
        <w:ind w:firstLine="470" w:firstLineChars="196"/>
        <w:rPr>
          <w:rFonts w:ascii="宋体" w:hAnsi="宋体" w:eastAsia="宋体"/>
          <w:szCs w:val="21"/>
        </w:rPr>
      </w:pPr>
      <w:r>
        <w:rPr>
          <w:rFonts w:hint="eastAsia" w:ascii="宋体" w:hAnsi="宋体" w:eastAsia="宋体"/>
          <w:szCs w:val="21"/>
        </w:rPr>
        <w:t>（9）其他违反本条例规定的行为。</w:t>
      </w:r>
    </w:p>
    <w:p w14:paraId="26809195">
      <w:pPr>
        <w:spacing w:line="360" w:lineRule="auto"/>
        <w:ind w:firstLine="470" w:firstLineChars="196"/>
        <w:rPr>
          <w:rFonts w:ascii="宋体" w:hAnsi="宋体" w:eastAsia="宋体"/>
          <w:szCs w:val="21"/>
        </w:rPr>
      </w:pPr>
      <w:r>
        <w:rPr>
          <w:rFonts w:hint="eastAsia" w:ascii="宋体" w:hAnsi="宋体" w:eastAsia="宋体"/>
          <w:szCs w:val="21"/>
        </w:rPr>
        <w:t>5</w:t>
      </w:r>
      <w:r>
        <w:rPr>
          <w:rFonts w:ascii="宋体" w:hAnsi="宋体" w:eastAsia="宋体"/>
          <w:szCs w:val="21"/>
        </w:rPr>
        <w:t xml:space="preserve">1.2 </w:t>
      </w:r>
      <w:r>
        <w:rPr>
          <w:rFonts w:hint="eastAsia" w:ascii="宋体" w:hAnsi="宋体" w:eastAsia="宋体"/>
          <w:szCs w:val="21"/>
        </w:rPr>
        <w:t>根据《深圳市财政局关于明确政府采购保证金管理工作的通知》（深财购[2019]42号）的要求，供应商在政府采购活动中出现《深圳经济特区政府采购条例实施细则》第八十四条所列情形的，</w:t>
      </w:r>
      <w:bookmarkStart w:id="887" w:name="_Hlk72440769"/>
      <w:r>
        <w:rPr>
          <w:rFonts w:hint="eastAsia" w:ascii="宋体" w:hAnsi="宋体" w:eastAsia="宋体"/>
          <w:szCs w:val="21"/>
        </w:rPr>
        <w:t>采购人或</w:t>
      </w:r>
      <w:bookmarkEnd w:id="887"/>
      <w:r>
        <w:rPr>
          <w:rFonts w:hint="eastAsia" w:ascii="宋体" w:hAnsi="宋体" w:eastAsia="宋体"/>
          <w:szCs w:val="21"/>
        </w:rPr>
        <w:t>招标代理机构可将有关情况报同级财政部门，由财政部门根据实际情况记入供应商诚信档案，予以通报：</w:t>
      </w:r>
    </w:p>
    <w:p w14:paraId="128E0752">
      <w:pPr>
        <w:spacing w:line="360" w:lineRule="auto"/>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）投标截止后，撤销投标的；</w:t>
      </w:r>
    </w:p>
    <w:p w14:paraId="09D1F89F">
      <w:pPr>
        <w:spacing w:line="360" w:lineRule="auto"/>
        <w:ind w:firstLine="470" w:firstLineChars="196"/>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）中标后无正当理由未在规定期限内签订合同的；</w:t>
      </w:r>
    </w:p>
    <w:p w14:paraId="65D230D0">
      <w:pPr>
        <w:spacing w:line="360" w:lineRule="auto"/>
        <w:ind w:firstLine="470" w:firstLineChars="196"/>
        <w:rPr>
          <w:rFonts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）将中标项目转让给他人、或者在投标文件中未说明且未经采购人、采购招标机构同意，将中标项目分包给他人的；</w:t>
      </w:r>
    </w:p>
    <w:p w14:paraId="6A8247A1">
      <w:pPr>
        <w:spacing w:line="360" w:lineRule="auto"/>
        <w:ind w:firstLine="470" w:firstLineChars="196"/>
        <w:rPr>
          <w:rFonts w:ascii="宋体" w:hAnsi="宋体" w:eastAsia="宋体"/>
          <w:szCs w:val="21"/>
        </w:rPr>
      </w:pPr>
      <w:r>
        <w:rPr>
          <w:rFonts w:ascii="宋体" w:hAnsi="宋体" w:eastAsia="宋体"/>
          <w:szCs w:val="21"/>
        </w:rPr>
        <w:t>（</w:t>
      </w:r>
      <w:r>
        <w:rPr>
          <w:rFonts w:hint="eastAsia" w:ascii="宋体" w:hAnsi="宋体" w:eastAsia="宋体"/>
          <w:szCs w:val="21"/>
        </w:rPr>
        <w:t>4</w:t>
      </w:r>
      <w:r>
        <w:rPr>
          <w:rFonts w:ascii="宋体" w:hAnsi="宋体" w:eastAsia="宋体"/>
          <w:szCs w:val="21"/>
        </w:rPr>
        <w:t>）拒绝履行合同义务的</w:t>
      </w:r>
      <w:r>
        <w:rPr>
          <w:rFonts w:hint="eastAsia" w:ascii="宋体" w:hAnsi="宋体" w:eastAsia="宋体"/>
          <w:szCs w:val="21"/>
        </w:rPr>
        <w:t>。</w:t>
      </w:r>
      <w:bookmarkEnd w:id="871"/>
    </w:p>
    <w:p w14:paraId="0FC4E4AB">
      <w:pPr>
        <w:keepNext/>
        <w:keepLines/>
        <w:numPr>
          <w:ilvl w:val="0"/>
          <w:numId w:val="10"/>
        </w:numPr>
        <w:adjustRightInd w:val="0"/>
        <w:spacing w:before="120" w:beforeLines="50" w:after="120" w:afterLines="50" w:line="360" w:lineRule="auto"/>
        <w:ind w:left="562" w:hanging="562"/>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238AA466">
      <w:pPr>
        <w:spacing w:line="360" w:lineRule="auto"/>
        <w:rPr>
          <w:rFonts w:ascii="黑体" w:hAnsi="宋体" w:eastAsia="黑体"/>
        </w:rPr>
      </w:pPr>
      <w:r>
        <w:rPr>
          <w:rFonts w:hint="eastAsia" w:ascii="黑体" w:hAnsi="宋体" w:eastAsia="黑体"/>
        </w:rPr>
        <w:t>52.质疑提出与答复</w:t>
      </w:r>
    </w:p>
    <w:p w14:paraId="30239E2B">
      <w:pPr>
        <w:spacing w:line="360" w:lineRule="auto"/>
        <w:rPr>
          <w:rFonts w:ascii="宋体" w:hAnsi="宋体" w:eastAsia="宋体"/>
          <w:szCs w:val="21"/>
        </w:rPr>
      </w:pPr>
      <w:r>
        <w:rPr>
          <w:rFonts w:hint="eastAsia" w:ascii="宋体" w:hAnsi="宋体" w:eastAsia="宋体"/>
          <w:szCs w:val="21"/>
        </w:rPr>
        <w:t xml:space="preserve">    52.1提出质疑</w:t>
      </w:r>
    </w:p>
    <w:p w14:paraId="433D8A3A">
      <w:pPr>
        <w:spacing w:line="360" w:lineRule="auto"/>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参与政府采购活动的供应商认为自己的权益在采购活动中受到损害的，应当自知道或者应当知道其权益受到损害之日起七个工作日内向采购人、招标代理机构以书面形式提出质疑。</w:t>
      </w:r>
    </w:p>
    <w:p w14:paraId="6BEC78E1">
      <w:pPr>
        <w:spacing w:line="360" w:lineRule="auto"/>
        <w:rPr>
          <w:rFonts w:ascii="宋体" w:hAnsi="宋体" w:eastAsia="宋体"/>
          <w:szCs w:val="21"/>
        </w:rPr>
      </w:pPr>
      <w:r>
        <w:rPr>
          <w:rFonts w:hint="eastAsia" w:ascii="宋体" w:hAnsi="宋体" w:eastAsia="宋体"/>
          <w:szCs w:val="21"/>
        </w:rPr>
        <w:t xml:space="preserve">    52.2</w:t>
      </w:r>
      <w:r>
        <w:rPr>
          <w:rFonts w:ascii="宋体" w:hAnsi="宋体" w:eastAsia="宋体"/>
          <w:szCs w:val="21"/>
        </w:rPr>
        <w:t>法律依据</w:t>
      </w:r>
    </w:p>
    <w:p w14:paraId="52E36ACD">
      <w:pPr>
        <w:spacing w:line="360" w:lineRule="auto"/>
        <w:rPr>
          <w:rFonts w:ascii="宋体" w:hAnsi="宋体" w:eastAsia="宋体"/>
          <w:szCs w:val="21"/>
        </w:rPr>
      </w:pPr>
      <w:r>
        <w:rPr>
          <w:rFonts w:hint="eastAsia" w:ascii="宋体" w:hAnsi="宋体" w:eastAsia="宋体"/>
          <w:szCs w:val="21"/>
        </w:rPr>
        <w:t xml:space="preserve">    《中华人民共和国政府采购法》、《中华人民共和国政府采购法实施条例》、</w:t>
      </w:r>
      <w:r>
        <w:rPr>
          <w:rFonts w:ascii="宋体" w:hAnsi="宋体" w:eastAsia="宋体"/>
          <w:szCs w:val="21"/>
        </w:rPr>
        <w:t>《</w:t>
      </w:r>
      <w:r>
        <w:rPr>
          <w:rFonts w:hint="eastAsia" w:ascii="宋体" w:hAnsi="宋体" w:eastAsia="宋体"/>
          <w:szCs w:val="21"/>
        </w:rPr>
        <w:t>深圳经济特区政府采购</w:t>
      </w:r>
      <w:r>
        <w:rPr>
          <w:rFonts w:ascii="宋体" w:hAnsi="宋体" w:eastAsia="宋体"/>
          <w:szCs w:val="21"/>
        </w:rPr>
        <w:t>条例</w:t>
      </w:r>
      <w:r>
        <w:rPr>
          <w:rFonts w:hint="eastAsia" w:ascii="宋体" w:hAnsi="宋体" w:eastAsia="宋体"/>
          <w:szCs w:val="21"/>
        </w:rPr>
        <w:t>》、《深圳经济特区政府采购条例实施细则》、《政府采购质疑和投诉办法》（财政部令第94号）和其他有关法律法规规定。</w:t>
      </w:r>
    </w:p>
    <w:p w14:paraId="1A850F15">
      <w:pPr>
        <w:spacing w:line="360" w:lineRule="auto"/>
        <w:rPr>
          <w:rFonts w:ascii="宋体" w:hAnsi="宋体" w:eastAsia="宋体"/>
          <w:szCs w:val="21"/>
        </w:rPr>
      </w:pPr>
      <w:r>
        <w:rPr>
          <w:rFonts w:hint="eastAsia" w:ascii="宋体" w:hAnsi="宋体" w:eastAsia="宋体"/>
          <w:szCs w:val="21"/>
        </w:rPr>
        <w:t>52.3质疑条件</w:t>
      </w:r>
    </w:p>
    <w:p w14:paraId="506E13F2">
      <w:pPr>
        <w:spacing w:line="360" w:lineRule="auto"/>
        <w:rPr>
          <w:rFonts w:ascii="宋体" w:hAnsi="宋体" w:eastAsia="宋体"/>
          <w:szCs w:val="21"/>
        </w:rPr>
      </w:pPr>
      <w:r>
        <w:rPr>
          <w:rFonts w:hint="eastAsia" w:ascii="宋体" w:hAnsi="宋体" w:eastAsia="宋体"/>
          <w:szCs w:val="21"/>
        </w:rPr>
        <w:t xml:space="preserve">    52.3.1提出质疑的供应商应当是参与所质疑项目采购活动的供应商；</w:t>
      </w:r>
      <w:bookmarkStart w:id="888" w:name="_Hlk75374941"/>
      <w:r>
        <w:rPr>
          <w:rFonts w:hint="eastAsia" w:ascii="宋体" w:hAnsi="宋体" w:eastAsia="宋体"/>
          <w:szCs w:val="21"/>
        </w:rPr>
        <w:t>以联合体形式参与的，质疑应当由组成联合体的所有成员共同提出</w:t>
      </w:r>
      <w:bookmarkEnd w:id="888"/>
      <w:r>
        <w:rPr>
          <w:rFonts w:hint="eastAsia" w:ascii="宋体" w:hAnsi="宋体" w:eastAsia="宋体"/>
          <w:szCs w:val="21"/>
        </w:rPr>
        <w:t>；</w:t>
      </w:r>
    </w:p>
    <w:p w14:paraId="7184EED5">
      <w:pPr>
        <w:spacing w:line="360" w:lineRule="auto"/>
        <w:rPr>
          <w:rFonts w:ascii="宋体" w:hAnsi="宋体" w:eastAsia="宋体"/>
          <w:szCs w:val="21"/>
        </w:rPr>
      </w:pPr>
      <w:r>
        <w:rPr>
          <w:rFonts w:hint="eastAsia" w:ascii="宋体" w:hAnsi="宋体" w:eastAsia="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36B2A38">
      <w:pPr>
        <w:spacing w:line="360" w:lineRule="auto"/>
        <w:ind w:firstLine="420"/>
        <w:rPr>
          <w:rFonts w:ascii="宋体" w:hAnsi="宋体" w:eastAsia="宋体"/>
          <w:szCs w:val="21"/>
        </w:rPr>
      </w:pPr>
      <w:r>
        <w:rPr>
          <w:rFonts w:hint="eastAsia" w:ascii="宋体" w:hAnsi="宋体" w:eastAsia="宋体"/>
          <w:szCs w:val="21"/>
        </w:rPr>
        <w:t>52.3.3应提交书面质疑函，质疑函应当包括以下内容：</w:t>
      </w:r>
    </w:p>
    <w:p w14:paraId="04A6FC3D">
      <w:pPr>
        <w:spacing w:line="360" w:lineRule="auto"/>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0BCDE6E1">
      <w:pPr>
        <w:spacing w:line="360" w:lineRule="auto"/>
        <w:ind w:firstLine="480" w:firstLineChars="200"/>
        <w:rPr>
          <w:rFonts w:ascii="宋体" w:hAnsi="宋体" w:eastAsia="宋体"/>
          <w:szCs w:val="21"/>
        </w:rPr>
      </w:pPr>
      <w:r>
        <w:rPr>
          <w:rFonts w:hint="eastAsia" w:ascii="宋体" w:hAnsi="宋体" w:eastAsia="宋体"/>
          <w:szCs w:val="21"/>
        </w:rPr>
        <w:t>（2）质疑项目的名称、编号；</w:t>
      </w:r>
    </w:p>
    <w:p w14:paraId="57E68B66">
      <w:pPr>
        <w:spacing w:line="360" w:lineRule="auto"/>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268E8CF9">
      <w:pPr>
        <w:spacing w:line="360" w:lineRule="auto"/>
        <w:ind w:firstLine="480" w:firstLineChars="200"/>
        <w:rPr>
          <w:rFonts w:ascii="宋体" w:hAnsi="宋体" w:eastAsia="宋体"/>
          <w:szCs w:val="21"/>
        </w:rPr>
      </w:pPr>
      <w:r>
        <w:rPr>
          <w:rFonts w:hint="eastAsia" w:ascii="宋体" w:hAnsi="宋体" w:eastAsia="宋体"/>
          <w:szCs w:val="21"/>
        </w:rPr>
        <w:t>（4）因质疑事项而受损害的权益；</w:t>
      </w:r>
    </w:p>
    <w:p w14:paraId="762456B9">
      <w:pPr>
        <w:spacing w:line="360" w:lineRule="auto"/>
        <w:ind w:firstLine="480" w:firstLineChars="200"/>
        <w:rPr>
          <w:rFonts w:ascii="宋体" w:hAnsi="宋体" w:eastAsia="宋体"/>
          <w:szCs w:val="21"/>
        </w:rPr>
      </w:pPr>
      <w:r>
        <w:rPr>
          <w:rFonts w:hint="eastAsia" w:ascii="宋体" w:hAnsi="宋体" w:eastAsia="宋体"/>
          <w:szCs w:val="21"/>
        </w:rPr>
        <w:t>（5）事实依据；</w:t>
      </w:r>
    </w:p>
    <w:p w14:paraId="70E28CDE">
      <w:pPr>
        <w:spacing w:line="360" w:lineRule="auto"/>
        <w:ind w:firstLine="480" w:firstLineChars="200"/>
        <w:rPr>
          <w:rFonts w:ascii="宋体" w:hAnsi="宋体" w:eastAsia="宋体"/>
          <w:szCs w:val="21"/>
        </w:rPr>
      </w:pPr>
      <w:r>
        <w:rPr>
          <w:rFonts w:hint="eastAsia" w:ascii="宋体" w:hAnsi="宋体" w:eastAsia="宋体"/>
          <w:szCs w:val="21"/>
        </w:rPr>
        <w:t>（6）必要的法律依据；</w:t>
      </w:r>
    </w:p>
    <w:p w14:paraId="4F08A41F">
      <w:pPr>
        <w:spacing w:line="360" w:lineRule="auto"/>
        <w:ind w:firstLine="480" w:firstLineChars="200"/>
        <w:rPr>
          <w:rFonts w:ascii="宋体" w:hAnsi="宋体" w:eastAsia="宋体"/>
          <w:szCs w:val="21"/>
        </w:rPr>
      </w:pPr>
      <w:r>
        <w:rPr>
          <w:rFonts w:hint="eastAsia" w:ascii="宋体" w:hAnsi="宋体" w:eastAsia="宋体"/>
          <w:szCs w:val="21"/>
        </w:rPr>
        <w:t>（7）提出质疑的日期。</w:t>
      </w:r>
    </w:p>
    <w:p w14:paraId="375EF078">
      <w:pPr>
        <w:spacing w:line="360" w:lineRule="auto"/>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610E2FB4">
      <w:pPr>
        <w:spacing w:line="360" w:lineRule="auto"/>
        <w:ind w:firstLine="480" w:firstLineChars="200"/>
        <w:rPr>
          <w:rFonts w:ascii="宋体" w:hAnsi="宋体" w:eastAsia="宋体"/>
          <w:szCs w:val="21"/>
        </w:rPr>
      </w:pPr>
      <w:r>
        <w:rPr>
          <w:rFonts w:hint="eastAsia" w:ascii="宋体" w:hAnsi="宋体" w:eastAsia="宋体"/>
          <w:szCs w:val="21"/>
        </w:rPr>
        <w:t>52.4提交</w:t>
      </w:r>
      <w:r>
        <w:rPr>
          <w:rFonts w:ascii="宋体" w:hAnsi="宋体" w:eastAsia="宋体"/>
          <w:szCs w:val="21"/>
        </w:rPr>
        <w:t>材料</w:t>
      </w:r>
    </w:p>
    <w:p w14:paraId="63B3B23A">
      <w:pPr>
        <w:spacing w:line="360" w:lineRule="auto"/>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F43CACA">
      <w:pPr>
        <w:spacing w:line="360" w:lineRule="auto"/>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0643419">
      <w:pPr>
        <w:spacing w:line="360" w:lineRule="auto"/>
        <w:ind w:firstLine="480" w:firstLineChars="200"/>
        <w:rPr>
          <w:rFonts w:ascii="宋体" w:hAnsi="宋体" w:eastAsia="宋体"/>
          <w:szCs w:val="21"/>
        </w:rPr>
      </w:pPr>
      <w:r>
        <w:rPr>
          <w:rFonts w:hint="eastAsia" w:ascii="宋体" w:hAnsi="宋体" w:eastAsia="宋体"/>
          <w:szCs w:val="21"/>
        </w:rPr>
        <w:t>52.5收文地点受理路径</w:t>
      </w:r>
    </w:p>
    <w:p w14:paraId="597E81E2">
      <w:pPr>
        <w:spacing w:line="360" w:lineRule="auto"/>
        <w:ind w:firstLine="480" w:firstLineChars="200"/>
        <w:rPr>
          <w:rFonts w:ascii="宋体" w:hAnsi="宋体" w:eastAsia="宋体"/>
          <w:szCs w:val="21"/>
        </w:rPr>
      </w:pPr>
      <w:r>
        <w:rPr>
          <w:rFonts w:hint="eastAsia" w:ascii="宋体" w:hAnsi="宋体" w:eastAsia="宋体"/>
          <w:szCs w:val="21"/>
        </w:rPr>
        <w:t>52.6收文办理</w:t>
      </w:r>
      <w:r>
        <w:rPr>
          <w:rFonts w:ascii="宋体" w:hAnsi="宋体" w:eastAsia="宋体"/>
          <w:szCs w:val="21"/>
        </w:rPr>
        <w:t>程序</w:t>
      </w:r>
    </w:p>
    <w:p w14:paraId="19B92F23">
      <w:pPr>
        <w:spacing w:line="360" w:lineRule="auto"/>
        <w:ind w:firstLine="480" w:firstLineChars="200"/>
        <w:rPr>
          <w:rFonts w:ascii="宋体" w:hAnsi="宋体" w:eastAsia="宋体"/>
          <w:szCs w:val="21"/>
        </w:rPr>
      </w:pPr>
      <w:r>
        <w:rPr>
          <w:rFonts w:hint="eastAsia" w:ascii="宋体" w:hAnsi="宋体" w:eastAsia="宋体"/>
          <w:szCs w:val="21"/>
        </w:rPr>
        <w:t>52.6.1供应商提交的质疑符合受理条件的，招标代理机构自收到质疑材料之日起即为受理，应当向供应商出具质疑函收文回执并可以要求其递交质疑的法定代表人（负责人）或者授权代理人签署质疑文书送达地址确认书。</w:t>
      </w:r>
    </w:p>
    <w:p w14:paraId="4070F929">
      <w:pPr>
        <w:spacing w:line="360" w:lineRule="auto"/>
        <w:ind w:firstLine="480" w:firstLineChars="200"/>
        <w:rPr>
          <w:rFonts w:ascii="仿宋" w:hAnsi="仿宋" w:eastAsia="仿宋"/>
          <w:sz w:val="28"/>
          <w:szCs w:val="28"/>
        </w:rPr>
      </w:pPr>
      <w:r>
        <w:rPr>
          <w:rFonts w:hint="eastAsia" w:ascii="宋体" w:hAnsi="宋体" w:eastAsia="宋体"/>
          <w:szCs w:val="21"/>
        </w:rPr>
        <w:t>52.6.2供应商提交的质疑材料不符合质疑条件的，视情况处理：</w:t>
      </w:r>
    </w:p>
    <w:p w14:paraId="5F90135B">
      <w:pPr>
        <w:spacing w:line="360" w:lineRule="auto"/>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供应商提交的质疑材料不全或者未按要求签字或者盖章的，招标代理机构应当一次性告知供应商需补正的内容和补正期限。</w:t>
      </w:r>
    </w:p>
    <w:p w14:paraId="471A603B">
      <w:pPr>
        <w:spacing w:line="360" w:lineRule="auto"/>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FCF8EC0">
      <w:pPr>
        <w:spacing w:line="360" w:lineRule="auto"/>
        <w:ind w:firstLine="480" w:firstLineChars="200"/>
        <w:rPr>
          <w:rFonts w:ascii="宋体" w:hAnsi="宋体" w:eastAsia="宋体"/>
          <w:szCs w:val="21"/>
        </w:rPr>
      </w:pPr>
      <w:r>
        <w:rPr>
          <w:rFonts w:hint="eastAsia" w:ascii="宋体" w:hAnsi="宋体" w:eastAsia="宋体"/>
          <w:szCs w:val="21"/>
        </w:rPr>
        <w:t>（1）质疑主体不满足要求的；</w:t>
      </w:r>
    </w:p>
    <w:p w14:paraId="1539FD21">
      <w:pPr>
        <w:spacing w:line="360" w:lineRule="auto"/>
        <w:ind w:firstLine="480" w:firstLineChars="200"/>
        <w:rPr>
          <w:rFonts w:ascii="宋体" w:hAnsi="宋体" w:eastAsia="宋体"/>
          <w:szCs w:val="21"/>
        </w:rPr>
      </w:pPr>
      <w:r>
        <w:rPr>
          <w:rFonts w:hint="eastAsia" w:ascii="宋体" w:hAnsi="宋体" w:eastAsia="宋体"/>
          <w:szCs w:val="21"/>
        </w:rPr>
        <w:t>（2）供应商自身权益未受到损害的；</w:t>
      </w:r>
    </w:p>
    <w:p w14:paraId="0AFA2765">
      <w:pPr>
        <w:spacing w:line="360" w:lineRule="auto"/>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33201B48">
      <w:pPr>
        <w:spacing w:line="360" w:lineRule="auto"/>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104EF97D">
      <w:pPr>
        <w:spacing w:line="360" w:lineRule="auto"/>
        <w:ind w:firstLine="480" w:firstLineChars="200"/>
        <w:rPr>
          <w:rFonts w:ascii="宋体" w:hAnsi="宋体" w:eastAsia="宋体"/>
          <w:szCs w:val="21"/>
        </w:rPr>
      </w:pPr>
      <w:r>
        <w:rPr>
          <w:rFonts w:hint="eastAsia" w:ascii="宋体" w:hAnsi="宋体" w:eastAsia="宋体"/>
          <w:szCs w:val="21"/>
        </w:rPr>
        <w:t>（5）其他不符合受理条件情形的。</w:t>
      </w:r>
    </w:p>
    <w:p w14:paraId="195E8B26">
      <w:pPr>
        <w:spacing w:line="360" w:lineRule="auto"/>
        <w:ind w:firstLine="480" w:firstLineChars="200"/>
        <w:rPr>
          <w:rFonts w:ascii="宋体" w:hAnsi="宋体" w:eastAsia="宋体"/>
          <w:szCs w:val="21"/>
        </w:rPr>
      </w:pPr>
      <w:r>
        <w:rPr>
          <w:rFonts w:hint="eastAsia" w:ascii="宋体" w:hAnsi="宋体" w:eastAsia="宋体"/>
          <w:szCs w:val="21"/>
        </w:rPr>
        <w:t>质疑事项不予受理的，招标代理机构应当向供应商出具不符合质疑条件告知书。</w:t>
      </w:r>
    </w:p>
    <w:p w14:paraId="241AB976">
      <w:pPr>
        <w:spacing w:line="360" w:lineRule="auto"/>
        <w:rPr>
          <w:rFonts w:ascii="宋体" w:hAnsi="宋体" w:eastAsia="宋体"/>
          <w:szCs w:val="21"/>
        </w:rPr>
      </w:pPr>
      <w:r>
        <w:rPr>
          <w:rFonts w:hint="eastAsia" w:ascii="宋体" w:hAnsi="宋体" w:eastAsia="宋体"/>
          <w:szCs w:val="21"/>
        </w:rPr>
        <w:t xml:space="preserve">  52.7质疑答复时限</w:t>
      </w:r>
    </w:p>
    <w:p w14:paraId="3A702D02">
      <w:pPr>
        <w:spacing w:line="360" w:lineRule="auto"/>
        <w:rPr>
          <w:rFonts w:ascii="宋体" w:hAnsi="宋体" w:eastAsia="宋体"/>
          <w:szCs w:val="21"/>
        </w:rPr>
      </w:pPr>
      <w:r>
        <w:rPr>
          <w:rFonts w:hint="eastAsia" w:ascii="宋体" w:hAnsi="宋体" w:eastAsia="宋体"/>
          <w:szCs w:val="21"/>
        </w:rPr>
        <w:t xml:space="preserve">    自收文之日起七个工作日内。</w:t>
      </w:r>
    </w:p>
    <w:p w14:paraId="7F5E4550">
      <w:pPr>
        <w:spacing w:line="360" w:lineRule="auto"/>
        <w:rPr>
          <w:rFonts w:ascii="宋体" w:hAnsi="宋体" w:eastAsia="宋体"/>
          <w:szCs w:val="21"/>
        </w:rPr>
      </w:pPr>
      <w:r>
        <w:rPr>
          <w:rFonts w:hint="eastAsia" w:ascii="宋体" w:hAnsi="宋体" w:eastAsia="宋体"/>
          <w:szCs w:val="21"/>
        </w:rPr>
        <w:t xml:space="preserve">    52.8投诉</w:t>
      </w:r>
    </w:p>
    <w:p w14:paraId="2F57C205">
      <w:pPr>
        <w:spacing w:line="360" w:lineRule="auto"/>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585DADBB">
      <w:pPr>
        <w:spacing w:line="360" w:lineRule="auto"/>
        <w:rPr>
          <w:rFonts w:ascii="黑体" w:hAnsi="宋体" w:eastAsia="黑体"/>
        </w:rPr>
      </w:pPr>
      <w:r>
        <w:rPr>
          <w:rFonts w:hint="eastAsia" w:ascii="黑体" w:hAnsi="宋体" w:eastAsia="黑体"/>
        </w:rPr>
        <w:t>53. 质疑后续处理</w:t>
      </w:r>
    </w:p>
    <w:p w14:paraId="495A80FA">
      <w:pPr>
        <w:spacing w:line="360" w:lineRule="auto"/>
        <w:ind w:firstLine="480" w:firstLineChars="200"/>
        <w:rPr>
          <w:rFonts w:ascii="宋体" w:hAnsi="宋体" w:eastAsia="宋体"/>
          <w:szCs w:val="21"/>
        </w:rPr>
      </w:pPr>
      <w:r>
        <w:rPr>
          <w:rFonts w:hint="eastAsia" w:ascii="宋体" w:hAnsi="宋体" w:eastAsia="宋体"/>
          <w:szCs w:val="21"/>
        </w:rPr>
        <w:t>53.1供应商质疑不成立，或者成立但未对中标、成交结果构成影响的，继续开展采购活动。</w:t>
      </w:r>
    </w:p>
    <w:p w14:paraId="05EF6875">
      <w:pPr>
        <w:spacing w:line="360" w:lineRule="auto"/>
        <w:ind w:firstLine="480" w:firstLineChars="200"/>
        <w:rPr>
          <w:rFonts w:ascii="宋体" w:hAnsi="宋体" w:eastAsia="宋体"/>
          <w:szCs w:val="21"/>
        </w:rPr>
      </w:pPr>
      <w:r>
        <w:rPr>
          <w:rFonts w:hint="eastAsia" w:ascii="宋体" w:hAnsi="宋体" w:eastAsia="宋体"/>
          <w:szCs w:val="21"/>
        </w:rPr>
        <w:t>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4CCC300"/>
    <w:sectPr>
      <w:footerReference r:id="rId7"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FrutBold">
    <w:altName w:val="Times New Roman"/>
    <w:panose1 w:val="00000000000000000000"/>
    <w:charset w:val="00"/>
    <w:family w:val="auto"/>
    <w:pitch w:val="default"/>
    <w:sig w:usb0="00000000"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FrutLigt">
    <w:altName w:val="Segoe Print"/>
    <w:panose1 w:val="00000000000000000000"/>
    <w:charset w:val="00"/>
    <w:family w:val="auto"/>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文鼎CS楷体">
    <w:altName w:val="微软雅黑"/>
    <w:panose1 w:val="00000000000000000000"/>
    <w:charset w:val="00"/>
    <w:family w:val="auto"/>
    <w:pitch w:val="default"/>
    <w:sig w:usb0="00000000" w:usb1="00000000" w:usb2="00000010" w:usb3="00000000" w:csb0="00040000" w:csb1="00000000"/>
  </w:font>
  <w:font w:name="文鼎粗黑">
    <w:altName w:val="黑体"/>
    <w:panose1 w:val="00000000000000000000"/>
    <w:charset w:val="00"/>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华文仿宋"/>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CS大隶书">
    <w:altName w:val="隶书"/>
    <w:panose1 w:val="00000000000000000000"/>
    <w:charset w:val="00"/>
    <w:family w:val="auto"/>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文鼎CS中黑">
    <w:altName w:val="黑体"/>
    <w:panose1 w:val="00000000000000000000"/>
    <w:charset w:val="00"/>
    <w:family w:val="auto"/>
    <w:pitch w:val="default"/>
    <w:sig w:usb0="00000000" w:usb1="00000000" w:usb2="00000010" w:usb3="00000000" w:csb0="00040000" w:csb1="00000000"/>
  </w:font>
  <w:font w:name="文鼎CS中宋">
    <w:altName w:val="宋体"/>
    <w:panose1 w:val="00000000000000000000"/>
    <w:charset w:val="00"/>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80B3">
    <w:pPr>
      <w:pStyle w:val="2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91E8">
    <w:pPr>
      <w:pStyle w:val="29"/>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7814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CF7814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351D">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7788390"/>
                          </w:sdtPr>
                          <w:sdtContent>
                            <w:p w14:paraId="161ADD75">
                              <w:pPr>
                                <w:pStyle w:val="29"/>
                                <w:jc w:val="center"/>
                              </w:pPr>
                              <w:r>
                                <w:fldChar w:fldCharType="begin"/>
                              </w:r>
                              <w:r>
                                <w:instrText xml:space="preserve">PAGE   \* MERGEFORMAT</w:instrText>
                              </w:r>
                              <w:r>
                                <w:fldChar w:fldCharType="separate"/>
                              </w:r>
                              <w:r>
                                <w:rPr>
                                  <w:lang w:val="zh-CN"/>
                                </w:rPr>
                                <w:t>2</w:t>
                              </w:r>
                              <w:r>
                                <w:fldChar w:fldCharType="end"/>
                              </w:r>
                            </w:p>
                          </w:sdtContent>
                        </w:sdt>
                        <w:p w14:paraId="3BE25B02">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sdt>
                    <w:sdtPr>
                      <w:id w:val="1937788390"/>
                    </w:sdtPr>
                    <w:sdtContent>
                      <w:p w14:paraId="161ADD75">
                        <w:pPr>
                          <w:pStyle w:val="29"/>
                          <w:jc w:val="center"/>
                        </w:pPr>
                        <w:r>
                          <w:fldChar w:fldCharType="begin"/>
                        </w:r>
                        <w:r>
                          <w:instrText xml:space="preserve">PAGE   \* MERGEFORMAT</w:instrText>
                        </w:r>
                        <w:r>
                          <w:fldChar w:fldCharType="separate"/>
                        </w:r>
                        <w:r>
                          <w:rPr>
                            <w:lang w:val="zh-CN"/>
                          </w:rPr>
                          <w:t>2</w:t>
                        </w:r>
                        <w:r>
                          <w:fldChar w:fldCharType="end"/>
                        </w:r>
                      </w:p>
                    </w:sdtContent>
                  </w:sdt>
                  <w:p w14:paraId="3BE25B02">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F53D">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1112529"/>
                          </w:sdtPr>
                          <w:sdtContent>
                            <w:p w14:paraId="4B103EE9">
                              <w:pPr>
                                <w:pStyle w:val="29"/>
                                <w:jc w:val="center"/>
                              </w:pPr>
                              <w:r>
                                <w:fldChar w:fldCharType="begin"/>
                              </w:r>
                              <w:r>
                                <w:instrText xml:space="preserve">PAGE   \* MERGEFORMAT</w:instrText>
                              </w:r>
                              <w:r>
                                <w:fldChar w:fldCharType="separate"/>
                              </w:r>
                              <w:r>
                                <w:rPr>
                                  <w:lang w:val="zh-CN"/>
                                </w:rPr>
                                <w:t>2</w:t>
                              </w:r>
                              <w:r>
                                <w:fldChar w:fldCharType="end"/>
                              </w:r>
                            </w:p>
                          </w:sdtContent>
                        </w:sdt>
                        <w:p w14:paraId="0C59C380">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sdt>
                    <w:sdtPr>
                      <w:id w:val="651112529"/>
                    </w:sdtPr>
                    <w:sdtContent>
                      <w:p w14:paraId="4B103EE9">
                        <w:pPr>
                          <w:pStyle w:val="29"/>
                          <w:jc w:val="center"/>
                        </w:pPr>
                        <w:r>
                          <w:fldChar w:fldCharType="begin"/>
                        </w:r>
                        <w:r>
                          <w:instrText xml:space="preserve">PAGE   \* MERGEFORMAT</w:instrText>
                        </w:r>
                        <w:r>
                          <w:fldChar w:fldCharType="separate"/>
                        </w:r>
                        <w:r>
                          <w:rPr>
                            <w:lang w:val="zh-CN"/>
                          </w:rPr>
                          <w:t>2</w:t>
                        </w:r>
                        <w:r>
                          <w:fldChar w:fldCharType="end"/>
                        </w:r>
                      </w:p>
                    </w:sdtContent>
                  </w:sdt>
                  <w:p w14:paraId="0C59C380">
                    <w:pPr>
                      <w:pStyle w:val="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97860"/>
    </w:sdtPr>
    <w:sdtContent>
      <w:sdt>
        <w:sdtPr>
          <w:id w:val="171357217"/>
        </w:sdtPr>
        <w:sdtContent>
          <w:p w14:paraId="1DBDE5AC">
            <w:pPr>
              <w:pStyle w:val="29"/>
              <w:jc w:val="center"/>
            </w:pPr>
            <w:r>
              <w:rPr>
                <w:b/>
                <w:sz w:val="24"/>
                <w:szCs w:val="24"/>
              </w:rPr>
              <w:fldChar w:fldCharType="begin"/>
            </w:r>
            <w:r>
              <w:rPr>
                <w:b/>
              </w:rPr>
              <w:instrText xml:space="preserve">PAGE</w:instrText>
            </w:r>
            <w:r>
              <w:rPr>
                <w:b/>
                <w:sz w:val="24"/>
                <w:szCs w:val="24"/>
              </w:rPr>
              <w:fldChar w:fldCharType="separate"/>
            </w:r>
            <w:r>
              <w:rPr>
                <w:b/>
              </w:rPr>
              <w:t>61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61</w:t>
            </w:r>
            <w:r>
              <w:rPr>
                <w:b/>
                <w:sz w:val="24"/>
                <w:szCs w:val="24"/>
              </w:rPr>
              <w:fldChar w:fldCharType="end"/>
            </w:r>
          </w:p>
        </w:sdtContent>
      </w:sdt>
    </w:sdtContent>
  </w:sdt>
  <w:p w14:paraId="69E9C134">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421FC"/>
    <w:multiLevelType w:val="singleLevel"/>
    <w:tmpl w:val="EBD421FC"/>
    <w:lvl w:ilvl="0" w:tentative="0">
      <w:start w:val="3"/>
      <w:numFmt w:val="decimal"/>
      <w:suff w:val="nothing"/>
      <w:lvlText w:val="（%1）"/>
      <w:lvlJc w:val="left"/>
    </w:lvl>
  </w:abstractNum>
  <w:abstractNum w:abstractNumId="1">
    <w:nsid w:val="FA624289"/>
    <w:multiLevelType w:val="singleLevel"/>
    <w:tmpl w:val="FA624289"/>
    <w:lvl w:ilvl="0" w:tentative="0">
      <w:start w:val="2"/>
      <w:numFmt w:val="decimal"/>
      <w:suff w:val="nothing"/>
      <w:lvlText w:val="（%1）"/>
      <w:lvlJc w:val="left"/>
    </w:lvl>
  </w:abstractNum>
  <w:abstractNum w:abstractNumId="2">
    <w:nsid w:val="FDA6D549"/>
    <w:multiLevelType w:val="singleLevel"/>
    <w:tmpl w:val="FDA6D549"/>
    <w:lvl w:ilvl="0" w:tentative="0">
      <w:start w:val="1"/>
      <w:numFmt w:val="chineseCounting"/>
      <w:suff w:val="nothing"/>
      <w:lvlText w:val="（%1）"/>
      <w:lvlJc w:val="left"/>
      <w:pPr>
        <w:ind w:left="0" w:firstLine="420"/>
      </w:pPr>
      <w:rPr>
        <w:rFonts w:hint="eastAsia"/>
      </w:rPr>
    </w:lvl>
  </w:abstractNum>
  <w:abstractNum w:abstractNumId="3">
    <w:nsid w:val="FFBD3486"/>
    <w:multiLevelType w:val="singleLevel"/>
    <w:tmpl w:val="FFBD3486"/>
    <w:lvl w:ilvl="0" w:tentative="0">
      <w:start w:val="2"/>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2"/>
    <w:multiLevelType w:val="multilevel"/>
    <w:tmpl w:val="00000002"/>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6"/>
    <w:multiLevelType w:val="multilevel"/>
    <w:tmpl w:val="00000006"/>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BEC59F5"/>
    <w:multiLevelType w:val="multilevel"/>
    <w:tmpl w:val="1BEC59F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5"/>
  </w:num>
  <w:num w:numId="4">
    <w:abstractNumId w:val="6"/>
  </w:num>
  <w:num w:numId="5">
    <w:abstractNumId w:val="7"/>
  </w:num>
  <w:num w:numId="6">
    <w:abstractNumId w:val="3"/>
  </w:num>
  <w:num w:numId="7">
    <w:abstractNumId w:val="1"/>
  </w:num>
  <w:num w:numId="8">
    <w:abstractNumId w:val="0"/>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赖">
    <w15:presenceInfo w15:providerId="None" w15:userId="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revisionView w:markup="0"/>
  <w:documentProtection w:enforcement="0"/>
  <w:defaultTabStop w:val="720"/>
  <w:noPunctuationKerning w:val="1"/>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jFkNTJmNjFiYmExNmRmY2NjMWQ4MDU1YTliZjQifQ=="/>
  </w:docVars>
  <w:rsids>
    <w:rsidRoot w:val="00000000"/>
    <w:rsid w:val="126F15CC"/>
    <w:rsid w:val="15A12406"/>
    <w:rsid w:val="15EF56B6"/>
    <w:rsid w:val="25B62C0D"/>
    <w:rsid w:val="2EF7784D"/>
    <w:rsid w:val="46584C1D"/>
    <w:rsid w:val="4EA50344"/>
    <w:rsid w:val="5A47702B"/>
    <w:rsid w:val="6464424D"/>
    <w:rsid w:val="66F83B86"/>
    <w:rsid w:val="67176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0"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1"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unhideWhenUsed/>
    <w:qFormat/>
    <w:uiPriority w:val="0"/>
    <w:pPr>
      <w:keepNext/>
      <w:keepLines/>
      <w:spacing w:before="260" w:after="260" w:line="416" w:lineRule="auto"/>
      <w:outlineLvl w:val="1"/>
    </w:pPr>
    <w:rPr>
      <w:rFonts w:ascii="Cambria" w:hAnsi="Cambria" w:eastAsia="宋体"/>
      <w:b/>
      <w:bCs/>
      <w:sz w:val="32"/>
      <w:szCs w:val="32"/>
    </w:rPr>
  </w:style>
  <w:style w:type="paragraph" w:styleId="5">
    <w:name w:val="heading 3"/>
    <w:basedOn w:val="1"/>
    <w:next w:val="1"/>
    <w:link w:val="78"/>
    <w:qFormat/>
    <w:uiPriority w:val="0"/>
    <w:pPr>
      <w:keepNext/>
      <w:keepLines/>
      <w:widowControl w:val="0"/>
      <w:spacing w:before="260" w:afterLines="25" w:line="415" w:lineRule="auto"/>
      <w:jc w:val="both"/>
      <w:outlineLvl w:val="2"/>
    </w:pPr>
    <w:rPr>
      <w:rFonts w:ascii="Arial" w:hAnsi="Arial" w:eastAsia="宋体"/>
      <w:sz w:val="32"/>
      <w:szCs w:val="32"/>
    </w:rPr>
  </w:style>
  <w:style w:type="paragraph" w:styleId="6">
    <w:name w:val="heading 4"/>
    <w:basedOn w:val="1"/>
    <w:next w:val="1"/>
    <w:link w:val="79"/>
    <w:qFormat/>
    <w:uiPriority w:val="0"/>
    <w:pPr>
      <w:keepNext/>
      <w:keepLines/>
      <w:widowControl w:val="0"/>
      <w:spacing w:before="280" w:after="290" w:line="376" w:lineRule="auto"/>
      <w:jc w:val="both"/>
      <w:outlineLvl w:val="3"/>
    </w:pPr>
    <w:rPr>
      <w:rFonts w:ascii="Cambria" w:hAnsi="Cambria" w:eastAsia="宋体"/>
      <w:b/>
      <w:bCs/>
      <w:sz w:val="28"/>
      <w:szCs w:val="28"/>
    </w:rPr>
  </w:style>
  <w:style w:type="paragraph" w:styleId="7">
    <w:name w:val="heading 5"/>
    <w:basedOn w:val="1"/>
    <w:next w:val="1"/>
    <w:link w:val="80"/>
    <w:qFormat/>
    <w:uiPriority w:val="0"/>
    <w:pPr>
      <w:keepNext/>
      <w:keepLines/>
      <w:spacing w:before="200" w:line="276" w:lineRule="auto"/>
      <w:outlineLvl w:val="4"/>
    </w:pPr>
    <w:rPr>
      <w:rFonts w:ascii="Cambria" w:hAnsi="Cambria" w:eastAsia="宋体"/>
      <w:color w:val="243F60"/>
      <w:sz w:val="22"/>
      <w:szCs w:val="20"/>
      <w:lang w:eastAsia="en-US"/>
    </w:rPr>
  </w:style>
  <w:style w:type="paragraph" w:styleId="8">
    <w:name w:val="heading 6"/>
    <w:basedOn w:val="1"/>
    <w:next w:val="1"/>
    <w:link w:val="81"/>
    <w:qFormat/>
    <w:uiPriority w:val="0"/>
    <w:pPr>
      <w:keepNext/>
      <w:keepLines/>
      <w:spacing w:before="200" w:line="276" w:lineRule="auto"/>
      <w:outlineLvl w:val="5"/>
    </w:pPr>
    <w:rPr>
      <w:rFonts w:ascii="Cambria" w:hAnsi="Cambria" w:eastAsia="宋体"/>
      <w:i/>
      <w:iCs/>
      <w:color w:val="243F60"/>
      <w:sz w:val="22"/>
      <w:szCs w:val="20"/>
      <w:lang w:eastAsia="en-US"/>
    </w:rPr>
  </w:style>
  <w:style w:type="paragraph" w:styleId="9">
    <w:name w:val="heading 7"/>
    <w:basedOn w:val="1"/>
    <w:next w:val="10"/>
    <w:link w:val="82"/>
    <w:qFormat/>
    <w:uiPriority w:val="0"/>
    <w:pPr>
      <w:keepNext/>
      <w:keepLines/>
      <w:widowControl w:val="0"/>
      <w:tabs>
        <w:tab w:val="left" w:pos="5040"/>
      </w:tabs>
      <w:adjustRightInd w:val="0"/>
      <w:snapToGrid w:val="0"/>
      <w:spacing w:before="240" w:after="64" w:line="319" w:lineRule="auto"/>
      <w:ind w:left="5040" w:hanging="360"/>
      <w:jc w:val="both"/>
      <w:outlineLvl w:val="6"/>
    </w:pPr>
    <w:rPr>
      <w:rFonts w:ascii="Calibri" w:hAnsi="Calibri" w:eastAsia="宋体"/>
      <w:b/>
      <w:sz w:val="28"/>
      <w:szCs w:val="20"/>
    </w:rPr>
  </w:style>
  <w:style w:type="paragraph" w:styleId="11">
    <w:name w:val="heading 8"/>
    <w:basedOn w:val="1"/>
    <w:next w:val="10"/>
    <w:link w:val="83"/>
    <w:qFormat/>
    <w:uiPriority w:val="0"/>
    <w:pPr>
      <w:keepNext/>
      <w:keepLines/>
      <w:widowControl w:val="0"/>
      <w:tabs>
        <w:tab w:val="left" w:pos="5760"/>
      </w:tabs>
      <w:adjustRightInd w:val="0"/>
      <w:snapToGrid w:val="0"/>
      <w:spacing w:before="240" w:after="64" w:line="319" w:lineRule="auto"/>
      <w:ind w:left="5760" w:hanging="360"/>
      <w:jc w:val="both"/>
      <w:outlineLvl w:val="7"/>
    </w:pPr>
    <w:rPr>
      <w:rFonts w:ascii="Arial" w:hAnsi="Arial" w:eastAsia="黑体"/>
      <w:sz w:val="28"/>
      <w:szCs w:val="20"/>
    </w:rPr>
  </w:style>
  <w:style w:type="paragraph" w:styleId="12">
    <w:name w:val="heading 9"/>
    <w:basedOn w:val="1"/>
    <w:next w:val="10"/>
    <w:link w:val="84"/>
    <w:qFormat/>
    <w:uiPriority w:val="0"/>
    <w:pPr>
      <w:keepNext/>
      <w:keepLines/>
      <w:widowControl w:val="0"/>
      <w:tabs>
        <w:tab w:val="left" w:pos="6480"/>
      </w:tabs>
      <w:adjustRightInd w:val="0"/>
      <w:snapToGrid w:val="0"/>
      <w:spacing w:before="240" w:after="64" w:line="319" w:lineRule="auto"/>
      <w:ind w:left="6480" w:hanging="360"/>
      <w:jc w:val="both"/>
      <w:outlineLvl w:val="8"/>
    </w:pPr>
    <w:rPr>
      <w:rFonts w:ascii="Arial" w:hAnsi="Arial" w:eastAsia="黑体"/>
      <w:sz w:val="2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5"/>
    <w:unhideWhenUsed/>
    <w:qFormat/>
    <w:uiPriority w:val="0"/>
    <w:rPr>
      <w:rFonts w:ascii="Consolas" w:hAnsi="Consolas" w:eastAsia="宋体"/>
      <w:sz w:val="20"/>
      <w:szCs w:val="21"/>
    </w:rPr>
  </w:style>
  <w:style w:type="paragraph" w:styleId="10">
    <w:name w:val="Normal Indent"/>
    <w:basedOn w:val="1"/>
    <w:link w:val="87"/>
    <w:qFormat/>
    <w:uiPriority w:val="0"/>
    <w:pPr>
      <w:widowControl w:val="0"/>
      <w:spacing w:afterLines="25" w:line="300" w:lineRule="auto"/>
      <w:ind w:firstLine="420" w:firstLineChars="200"/>
      <w:jc w:val="both"/>
    </w:pPr>
    <w:rPr>
      <w:rFonts w:ascii="Arial" w:hAnsi="Arial" w:eastAsia="宋体"/>
      <w:sz w:val="20"/>
    </w:rPr>
  </w:style>
  <w:style w:type="paragraph" w:styleId="13">
    <w:name w:val="List 3"/>
    <w:basedOn w:val="1"/>
    <w:qFormat/>
    <w:uiPriority w:val="0"/>
    <w:pPr>
      <w:widowControl w:val="0"/>
      <w:ind w:left="100" w:leftChars="400" w:hanging="200" w:hangingChars="200"/>
      <w:jc w:val="both"/>
    </w:pPr>
    <w:rPr>
      <w:rFonts w:eastAsia="宋体"/>
      <w:kern w:val="2"/>
      <w:sz w:val="21"/>
      <w:szCs w:val="20"/>
    </w:rPr>
  </w:style>
  <w:style w:type="paragraph" w:styleId="14">
    <w:name w:val="caption"/>
    <w:basedOn w:val="1"/>
    <w:next w:val="1"/>
    <w:qFormat/>
    <w:uiPriority w:val="0"/>
    <w:pPr>
      <w:widowControl w:val="0"/>
      <w:spacing w:afterLines="25"/>
      <w:jc w:val="both"/>
    </w:pPr>
    <w:rPr>
      <w:rFonts w:ascii="Arial" w:hAnsi="Arial" w:eastAsia="宋体"/>
      <w:b/>
      <w:bCs/>
      <w:color w:val="4F81BD"/>
      <w:kern w:val="2"/>
      <w:sz w:val="18"/>
      <w:szCs w:val="18"/>
    </w:rPr>
  </w:style>
  <w:style w:type="paragraph" w:styleId="15">
    <w:name w:val="List Bullet"/>
    <w:basedOn w:val="1"/>
    <w:qFormat/>
    <w:uiPriority w:val="0"/>
    <w:pPr>
      <w:widowControl w:val="0"/>
      <w:tabs>
        <w:tab w:val="left" w:pos="360"/>
        <w:tab w:val="left" w:pos="1470"/>
      </w:tabs>
      <w:ind w:left="1470" w:hanging="420"/>
      <w:jc w:val="both"/>
    </w:pPr>
    <w:rPr>
      <w:rFonts w:eastAsia="宋体"/>
      <w:kern w:val="2"/>
      <w:sz w:val="21"/>
      <w:szCs w:val="20"/>
    </w:rPr>
  </w:style>
  <w:style w:type="paragraph" w:styleId="16">
    <w:name w:val="Document Map"/>
    <w:basedOn w:val="1"/>
    <w:link w:val="59"/>
    <w:qFormat/>
    <w:uiPriority w:val="0"/>
    <w:rPr>
      <w:rFonts w:ascii="宋体" w:eastAsia="宋体"/>
      <w:sz w:val="18"/>
      <w:szCs w:val="18"/>
    </w:rPr>
  </w:style>
  <w:style w:type="paragraph" w:styleId="17">
    <w:name w:val="annotation text"/>
    <w:basedOn w:val="1"/>
    <w:link w:val="62"/>
    <w:qFormat/>
    <w:uiPriority w:val="0"/>
  </w:style>
  <w:style w:type="paragraph" w:styleId="18">
    <w:name w:val="Salutation"/>
    <w:basedOn w:val="1"/>
    <w:next w:val="1"/>
    <w:link w:val="89"/>
    <w:qFormat/>
    <w:uiPriority w:val="0"/>
    <w:pPr>
      <w:widowControl w:val="0"/>
      <w:jc w:val="both"/>
    </w:pPr>
    <w:rPr>
      <w:rFonts w:ascii="Verdana" w:hAnsi="Verdana" w:eastAsia="仿宋_GB2312"/>
      <w:kern w:val="2"/>
      <w:szCs w:val="20"/>
      <w:lang w:eastAsia="en-US"/>
    </w:rPr>
  </w:style>
  <w:style w:type="paragraph" w:styleId="19">
    <w:name w:val="Body Text 3"/>
    <w:basedOn w:val="1"/>
    <w:link w:val="91"/>
    <w:qFormat/>
    <w:uiPriority w:val="0"/>
    <w:pPr>
      <w:widowControl w:val="0"/>
      <w:spacing w:afterLines="25" w:line="300" w:lineRule="auto"/>
      <w:jc w:val="both"/>
    </w:pPr>
    <w:rPr>
      <w:rFonts w:ascii="Arial" w:hAnsi="Arial" w:eastAsia="宋体"/>
      <w:sz w:val="16"/>
      <w:szCs w:val="16"/>
    </w:rPr>
  </w:style>
  <w:style w:type="paragraph" w:styleId="20">
    <w:name w:val="Body Text"/>
    <w:basedOn w:val="1"/>
    <w:link w:val="66"/>
    <w:unhideWhenUsed/>
    <w:qFormat/>
    <w:uiPriority w:val="0"/>
    <w:pPr>
      <w:spacing w:after="120"/>
    </w:pPr>
  </w:style>
  <w:style w:type="paragraph" w:styleId="21">
    <w:name w:val="Body Text Indent"/>
    <w:basedOn w:val="1"/>
    <w:link w:val="93"/>
    <w:qFormat/>
    <w:uiPriority w:val="0"/>
    <w:pPr>
      <w:widowControl w:val="0"/>
      <w:spacing w:afterLines="25" w:line="300" w:lineRule="auto"/>
      <w:ind w:left="420" w:leftChars="200"/>
      <w:jc w:val="both"/>
    </w:pPr>
    <w:rPr>
      <w:rFonts w:ascii="Arial" w:hAnsi="Arial" w:eastAsia="宋体"/>
      <w:sz w:val="20"/>
    </w:rPr>
  </w:style>
  <w:style w:type="paragraph" w:styleId="22">
    <w:name w:val="List 2"/>
    <w:basedOn w:val="1"/>
    <w:qFormat/>
    <w:uiPriority w:val="0"/>
    <w:pPr>
      <w:widowControl w:val="0"/>
      <w:adjustRightInd w:val="0"/>
      <w:spacing w:line="360" w:lineRule="atLeast"/>
      <w:ind w:left="840" w:hanging="420"/>
      <w:textAlignment w:val="baseline"/>
    </w:pPr>
    <w:rPr>
      <w:rFonts w:eastAsia="宋体"/>
      <w:spacing w:val="10"/>
      <w:szCs w:val="20"/>
    </w:rPr>
  </w:style>
  <w:style w:type="paragraph" w:styleId="23">
    <w:name w:val="Block Text"/>
    <w:basedOn w:val="1"/>
    <w:qFormat/>
    <w:uiPriority w:val="0"/>
    <w:pPr>
      <w:widowControl w:val="0"/>
      <w:spacing w:after="120"/>
      <w:ind w:left="1440" w:leftChars="700" w:right="1440" w:rightChars="700"/>
      <w:jc w:val="both"/>
    </w:pPr>
    <w:rPr>
      <w:rFonts w:eastAsia="宋体"/>
      <w:kern w:val="2"/>
      <w:sz w:val="21"/>
    </w:rPr>
  </w:style>
  <w:style w:type="paragraph" w:styleId="24">
    <w:name w:val="toc 5"/>
    <w:basedOn w:val="1"/>
    <w:next w:val="1"/>
    <w:qFormat/>
    <w:uiPriority w:val="0"/>
    <w:pPr>
      <w:widowControl w:val="0"/>
      <w:ind w:left="1680" w:leftChars="800"/>
      <w:jc w:val="both"/>
    </w:pPr>
    <w:rPr>
      <w:rFonts w:eastAsia="宋体"/>
      <w:kern w:val="2"/>
      <w:sz w:val="21"/>
      <w:szCs w:val="20"/>
    </w:rPr>
  </w:style>
  <w:style w:type="paragraph" w:styleId="25">
    <w:name w:val="toc 3"/>
    <w:basedOn w:val="1"/>
    <w:next w:val="1"/>
    <w:qFormat/>
    <w:uiPriority w:val="0"/>
    <w:pPr>
      <w:ind w:left="840" w:leftChars="400"/>
    </w:pPr>
  </w:style>
  <w:style w:type="paragraph" w:styleId="26">
    <w:name w:val="Date"/>
    <w:basedOn w:val="1"/>
    <w:next w:val="1"/>
    <w:link w:val="96"/>
    <w:qFormat/>
    <w:uiPriority w:val="0"/>
    <w:pPr>
      <w:widowControl w:val="0"/>
      <w:jc w:val="both"/>
    </w:pPr>
    <w:rPr>
      <w:rFonts w:eastAsia="宋体"/>
      <w:sz w:val="20"/>
      <w:szCs w:val="20"/>
    </w:rPr>
  </w:style>
  <w:style w:type="paragraph" w:styleId="27">
    <w:name w:val="Body Text Indent 2"/>
    <w:basedOn w:val="1"/>
    <w:link w:val="97"/>
    <w:qFormat/>
    <w:uiPriority w:val="0"/>
    <w:pPr>
      <w:widowControl w:val="0"/>
      <w:spacing w:line="360" w:lineRule="auto"/>
      <w:ind w:left="840"/>
      <w:jc w:val="both"/>
    </w:pPr>
    <w:rPr>
      <w:rFonts w:eastAsia="宋体"/>
      <w:sz w:val="20"/>
    </w:rPr>
  </w:style>
  <w:style w:type="paragraph" w:styleId="28">
    <w:name w:val="Balloon Text"/>
    <w:basedOn w:val="1"/>
    <w:link w:val="58"/>
    <w:qFormat/>
    <w:uiPriority w:val="0"/>
    <w:rPr>
      <w:sz w:val="18"/>
      <w:szCs w:val="18"/>
    </w:rPr>
  </w:style>
  <w:style w:type="paragraph" w:styleId="29">
    <w:name w:val="footer"/>
    <w:basedOn w:val="1"/>
    <w:link w:val="61"/>
    <w:qFormat/>
    <w:uiPriority w:val="99"/>
    <w:pPr>
      <w:tabs>
        <w:tab w:val="center" w:pos="4153"/>
        <w:tab w:val="right" w:pos="8306"/>
      </w:tabs>
      <w:snapToGrid w:val="0"/>
    </w:pPr>
    <w:rPr>
      <w:sz w:val="18"/>
      <w:szCs w:val="18"/>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widowControl w:val="0"/>
      <w:spacing w:afterLines="25" w:line="300" w:lineRule="auto"/>
      <w:jc w:val="both"/>
    </w:pPr>
    <w:rPr>
      <w:rFonts w:ascii="Arial" w:hAnsi="Arial" w:eastAsia="宋体"/>
      <w:kern w:val="2"/>
      <w:sz w:val="21"/>
    </w:rPr>
  </w:style>
  <w:style w:type="paragraph" w:styleId="32">
    <w:name w:val="index heading"/>
    <w:basedOn w:val="1"/>
    <w:next w:val="33"/>
    <w:qFormat/>
    <w:uiPriority w:val="99"/>
    <w:pPr>
      <w:widowControl w:val="0"/>
      <w:jc w:val="both"/>
    </w:pPr>
    <w:rPr>
      <w:rFonts w:eastAsia="宋体"/>
      <w:kern w:val="2"/>
      <w:sz w:val="21"/>
    </w:rPr>
  </w:style>
  <w:style w:type="paragraph" w:styleId="33">
    <w:name w:val="index 1"/>
    <w:basedOn w:val="1"/>
    <w:next w:val="1"/>
    <w:unhideWhenUsed/>
    <w:qFormat/>
    <w:uiPriority w:val="0"/>
  </w:style>
  <w:style w:type="paragraph" w:styleId="34">
    <w:name w:val="Subtitle"/>
    <w:basedOn w:val="1"/>
    <w:next w:val="1"/>
    <w:link w:val="56"/>
    <w:qFormat/>
    <w:uiPriority w:val="0"/>
    <w:pPr>
      <w:spacing w:before="240" w:after="60" w:line="312" w:lineRule="auto"/>
      <w:jc w:val="center"/>
      <w:outlineLvl w:val="1"/>
    </w:pPr>
    <w:rPr>
      <w:rFonts w:ascii="Cambria" w:hAnsi="Cambria" w:eastAsia="宋体"/>
      <w:b/>
      <w:bCs/>
      <w:kern w:val="28"/>
      <w:sz w:val="32"/>
      <w:szCs w:val="32"/>
    </w:rPr>
  </w:style>
  <w:style w:type="paragraph" w:styleId="35">
    <w:name w:val="List"/>
    <w:basedOn w:val="1"/>
    <w:qFormat/>
    <w:uiPriority w:val="0"/>
    <w:pPr>
      <w:widowControl w:val="0"/>
      <w:ind w:left="200" w:hanging="200" w:hangingChars="200"/>
      <w:jc w:val="both"/>
    </w:pPr>
    <w:rPr>
      <w:rFonts w:eastAsia="宋体"/>
      <w:kern w:val="2"/>
      <w:sz w:val="21"/>
      <w:szCs w:val="20"/>
    </w:rPr>
  </w:style>
  <w:style w:type="paragraph" w:styleId="36">
    <w:name w:val="Body Text Indent 3"/>
    <w:basedOn w:val="1"/>
    <w:link w:val="102"/>
    <w:qFormat/>
    <w:uiPriority w:val="0"/>
    <w:pPr>
      <w:widowControl w:val="0"/>
      <w:spacing w:line="360" w:lineRule="auto"/>
      <w:ind w:firstLine="482" w:firstLineChars="200"/>
      <w:jc w:val="both"/>
    </w:pPr>
    <w:rPr>
      <w:rFonts w:ascii="宋体" w:eastAsia="宋体"/>
      <w:b/>
      <w:bCs/>
      <w:kern w:val="2"/>
    </w:rPr>
  </w:style>
  <w:style w:type="paragraph" w:styleId="37">
    <w:name w:val="toc 2"/>
    <w:basedOn w:val="1"/>
    <w:next w:val="1"/>
    <w:qFormat/>
    <w:uiPriority w:val="39"/>
    <w:pPr>
      <w:widowControl/>
      <w:ind w:left="240"/>
      <w:jc w:val="left"/>
    </w:pPr>
    <w:rPr>
      <w:smallCaps/>
      <w:kern w:val="0"/>
      <w:sz w:val="20"/>
      <w:szCs w:val="20"/>
    </w:rPr>
  </w:style>
  <w:style w:type="paragraph" w:styleId="38">
    <w:name w:val="Body Text 2"/>
    <w:basedOn w:val="1"/>
    <w:link w:val="103"/>
    <w:qFormat/>
    <w:uiPriority w:val="0"/>
    <w:pPr>
      <w:widowControl w:val="0"/>
      <w:spacing w:line="360" w:lineRule="auto"/>
      <w:jc w:val="both"/>
    </w:pPr>
    <w:rPr>
      <w:rFonts w:eastAsia="宋体"/>
      <w:kern w:val="2"/>
    </w:rPr>
  </w:style>
  <w:style w:type="paragraph" w:styleId="39">
    <w:name w:val="HTML Preformatted"/>
    <w:basedOn w:val="1"/>
    <w:link w:val="74"/>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40">
    <w:name w:val="Normal (Web)"/>
    <w:basedOn w:val="1"/>
    <w:qFormat/>
    <w:uiPriority w:val="99"/>
    <w:pPr>
      <w:spacing w:before="100" w:beforeAutospacing="1" w:afterAutospacing="1"/>
    </w:pPr>
    <w:rPr>
      <w:rFonts w:ascii="宋体" w:hAnsi="宋体"/>
    </w:rPr>
  </w:style>
  <w:style w:type="paragraph" w:styleId="41">
    <w:name w:val="Title"/>
    <w:basedOn w:val="1"/>
    <w:next w:val="1"/>
    <w:link w:val="106"/>
    <w:qFormat/>
    <w:uiPriority w:val="0"/>
    <w:pPr>
      <w:widowControl w:val="0"/>
      <w:spacing w:before="240" w:after="60"/>
      <w:jc w:val="center"/>
      <w:outlineLvl w:val="0"/>
    </w:pPr>
    <w:rPr>
      <w:rFonts w:ascii="Cambria" w:hAnsi="Cambria" w:eastAsia="宋体"/>
      <w:b/>
      <w:bCs/>
      <w:sz w:val="32"/>
      <w:szCs w:val="32"/>
    </w:rPr>
  </w:style>
  <w:style w:type="paragraph" w:styleId="42">
    <w:name w:val="annotation subject"/>
    <w:basedOn w:val="17"/>
    <w:next w:val="17"/>
    <w:link w:val="65"/>
    <w:unhideWhenUsed/>
    <w:qFormat/>
    <w:uiPriority w:val="0"/>
    <w:rPr>
      <w:b/>
      <w:bCs/>
    </w:rPr>
  </w:style>
  <w:style w:type="paragraph" w:styleId="43">
    <w:name w:val="Body Text First Indent"/>
    <w:basedOn w:val="20"/>
    <w:link w:val="67"/>
    <w:qFormat/>
    <w:uiPriority w:val="0"/>
    <w:pPr>
      <w:ind w:firstLine="420" w:firstLineChars="100"/>
    </w:pPr>
    <w:rPr>
      <w:rFonts w:asciiTheme="minorHAnsi" w:hAnsiTheme="minorHAnsi" w:cstheme="minorBidi"/>
      <w:b/>
      <w:bCs/>
      <w:sz w:val="21"/>
      <w:szCs w:val="22"/>
    </w:rPr>
  </w:style>
  <w:style w:type="paragraph" w:styleId="44">
    <w:name w:val="Body Text First Indent 2"/>
    <w:basedOn w:val="21"/>
    <w:link w:val="109"/>
    <w:unhideWhenUsed/>
    <w:qFormat/>
    <w:uiPriority w:val="1"/>
    <w:pPr>
      <w:widowControl/>
      <w:spacing w:afterLines="0" w:line="240" w:lineRule="auto"/>
      <w:ind w:firstLine="420" w:firstLineChars="200"/>
      <w:jc w:val="left"/>
    </w:pPr>
    <w:rPr>
      <w:rFonts w:ascii="宋体" w:hAnsi="宋体"/>
      <w:sz w:val="24"/>
    </w:rPr>
  </w:style>
  <w:style w:type="table" w:styleId="46">
    <w:name w:val="Table Grid"/>
    <w:basedOn w:val="45"/>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unhideWhenUsed/>
    <w:qFormat/>
    <w:uiPriority w:val="1"/>
    <w:rPr>
      <w:color w:val="800080"/>
      <w:u w:val="single"/>
    </w:rPr>
  </w:style>
  <w:style w:type="character" w:styleId="51">
    <w:name w:val="Emphasis"/>
    <w:qFormat/>
    <w:uiPriority w:val="0"/>
  </w:style>
  <w:style w:type="character" w:styleId="52">
    <w:name w:val="HTML Typewriter"/>
    <w:qFormat/>
    <w:uiPriority w:val="0"/>
    <w:rPr>
      <w:rFonts w:ascii="宋体" w:hAnsi="宋体" w:eastAsia="宋体" w:cs="宋体"/>
      <w:sz w:val="24"/>
      <w:szCs w:val="24"/>
    </w:rPr>
  </w:style>
  <w:style w:type="character" w:styleId="53">
    <w:name w:val="Hyperlink"/>
    <w:basedOn w:val="47"/>
    <w:unhideWhenUsed/>
    <w:qFormat/>
    <w:uiPriority w:val="0"/>
    <w:rPr>
      <w:color w:val="0000FF" w:themeColor="hyperlink"/>
      <w:u w:val="single"/>
      <w14:textFill>
        <w14:solidFill>
          <w14:schemeClr w14:val="hlink"/>
        </w14:solidFill>
      </w14:textFill>
    </w:rPr>
  </w:style>
  <w:style w:type="character" w:styleId="54">
    <w:name w:val="annotation reference"/>
    <w:basedOn w:val="47"/>
    <w:unhideWhenUsed/>
    <w:qFormat/>
    <w:uiPriority w:val="0"/>
    <w:rPr>
      <w:sz w:val="21"/>
      <w:szCs w:val="21"/>
    </w:rPr>
  </w:style>
  <w:style w:type="character" w:styleId="55">
    <w:name w:val="HTML Cite"/>
    <w:qFormat/>
    <w:uiPriority w:val="0"/>
    <w:rPr>
      <w:vanish/>
      <w:color w:val="008000"/>
    </w:rPr>
  </w:style>
  <w:style w:type="character" w:customStyle="1" w:styleId="56">
    <w:name w:val="副标题 Char"/>
    <w:basedOn w:val="47"/>
    <w:link w:val="34"/>
    <w:qFormat/>
    <w:uiPriority w:val="0"/>
    <w:rPr>
      <w:rFonts w:ascii="Cambria" w:hAnsi="Cambria" w:eastAsia="宋体" w:cs="Times New Roman"/>
      <w:b/>
      <w:bCs/>
      <w:kern w:val="28"/>
      <w:sz w:val="32"/>
      <w:szCs w:val="32"/>
    </w:rPr>
  </w:style>
  <w:style w:type="character" w:customStyle="1" w:styleId="57">
    <w:name w:val="标题 2 Char"/>
    <w:basedOn w:val="47"/>
    <w:link w:val="4"/>
    <w:qFormat/>
    <w:uiPriority w:val="0"/>
    <w:rPr>
      <w:rFonts w:asciiTheme="majorHAnsi" w:hAnsiTheme="majorHAnsi" w:eastAsiaTheme="majorEastAsia" w:cstheme="majorBidi"/>
      <w:b/>
      <w:bCs/>
      <w:kern w:val="2"/>
      <w:sz w:val="32"/>
      <w:szCs w:val="32"/>
    </w:rPr>
  </w:style>
  <w:style w:type="character" w:customStyle="1" w:styleId="58">
    <w:name w:val="批注框文本 Char"/>
    <w:basedOn w:val="47"/>
    <w:link w:val="28"/>
    <w:qFormat/>
    <w:uiPriority w:val="0"/>
    <w:rPr>
      <w:sz w:val="18"/>
      <w:szCs w:val="18"/>
    </w:rPr>
  </w:style>
  <w:style w:type="character" w:customStyle="1" w:styleId="59">
    <w:name w:val="文档结构图 Char"/>
    <w:basedOn w:val="47"/>
    <w:link w:val="16"/>
    <w:qFormat/>
    <w:uiPriority w:val="0"/>
    <w:rPr>
      <w:rFonts w:ascii="宋体" w:eastAsia="宋体"/>
      <w:sz w:val="18"/>
      <w:szCs w:val="18"/>
    </w:rPr>
  </w:style>
  <w:style w:type="character" w:customStyle="1" w:styleId="60">
    <w:name w:val="页眉 Char"/>
    <w:basedOn w:val="47"/>
    <w:link w:val="30"/>
    <w:qFormat/>
    <w:uiPriority w:val="99"/>
    <w:rPr>
      <w:sz w:val="18"/>
      <w:szCs w:val="18"/>
    </w:rPr>
  </w:style>
  <w:style w:type="character" w:customStyle="1" w:styleId="61">
    <w:name w:val="页脚 Char"/>
    <w:basedOn w:val="47"/>
    <w:link w:val="29"/>
    <w:qFormat/>
    <w:uiPriority w:val="99"/>
    <w:rPr>
      <w:sz w:val="18"/>
      <w:szCs w:val="18"/>
    </w:rPr>
  </w:style>
  <w:style w:type="character" w:customStyle="1" w:styleId="62">
    <w:name w:val="批注文字 Char"/>
    <w:basedOn w:val="47"/>
    <w:link w:val="17"/>
    <w:qFormat/>
    <w:uiPriority w:val="0"/>
    <w:rPr>
      <w:sz w:val="24"/>
      <w:szCs w:val="24"/>
    </w:rPr>
  </w:style>
  <w:style w:type="character" w:customStyle="1" w:styleId="63">
    <w:name w:val="标题 1 Char"/>
    <w:basedOn w:val="47"/>
    <w:link w:val="3"/>
    <w:qFormat/>
    <w:uiPriority w:val="0"/>
    <w:rPr>
      <w:b/>
      <w:bCs/>
      <w:kern w:val="44"/>
      <w:sz w:val="44"/>
      <w:szCs w:val="44"/>
    </w:rPr>
  </w:style>
  <w:style w:type="paragraph" w:customStyle="1" w:styleId="64">
    <w:name w:val="Default"/>
    <w:link w:val="14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批注主题 Char"/>
    <w:basedOn w:val="62"/>
    <w:link w:val="42"/>
    <w:qFormat/>
    <w:uiPriority w:val="0"/>
    <w:rPr>
      <w:b/>
      <w:bCs/>
      <w:sz w:val="24"/>
      <w:szCs w:val="24"/>
    </w:rPr>
  </w:style>
  <w:style w:type="character" w:customStyle="1" w:styleId="66">
    <w:name w:val="正文文本 Char"/>
    <w:basedOn w:val="47"/>
    <w:link w:val="20"/>
    <w:qFormat/>
    <w:uiPriority w:val="0"/>
    <w:rPr>
      <w:sz w:val="24"/>
      <w:szCs w:val="24"/>
    </w:rPr>
  </w:style>
  <w:style w:type="character" w:customStyle="1" w:styleId="67">
    <w:name w:val="正文首行缩进 Char"/>
    <w:basedOn w:val="66"/>
    <w:link w:val="43"/>
    <w:qFormat/>
    <w:uiPriority w:val="99"/>
    <w:rPr>
      <w:rFonts w:asciiTheme="minorHAnsi" w:hAnsiTheme="minorHAnsi" w:cstheme="minorBidi"/>
      <w:b/>
      <w:bCs/>
      <w:sz w:val="21"/>
      <w:szCs w:val="22"/>
    </w:rPr>
  </w:style>
  <w:style w:type="paragraph" w:styleId="68">
    <w:name w:val="List Paragraph"/>
    <w:basedOn w:val="1"/>
    <w:link w:val="144"/>
    <w:qFormat/>
    <w:uiPriority w:val="99"/>
    <w:pPr>
      <w:widowControl w:val="0"/>
      <w:ind w:firstLine="420" w:firstLineChars="200"/>
      <w:jc w:val="both"/>
    </w:pPr>
    <w:rPr>
      <w:rFonts w:asciiTheme="minorHAnsi" w:hAnsiTheme="minorHAnsi" w:cstheme="minorBidi"/>
      <w:kern w:val="2"/>
      <w:sz w:val="21"/>
      <w:szCs w:val="22"/>
    </w:rPr>
  </w:style>
  <w:style w:type="paragraph" w:customStyle="1" w:styleId="69">
    <w:name w:val="修订1"/>
    <w:hidden/>
    <w:unhideWhenUsed/>
    <w:qFormat/>
    <w:uiPriority w:val="99"/>
    <w:rPr>
      <w:rFonts w:ascii="Times New Roman" w:hAnsi="Times New Roman" w:cs="Times New Roman" w:eastAsiaTheme="minorEastAsia"/>
      <w:sz w:val="24"/>
      <w:szCs w:val="24"/>
      <w:lang w:val="en-US" w:eastAsia="zh-CN" w:bidi="ar-SA"/>
    </w:rPr>
  </w:style>
  <w:style w:type="paragraph" w:customStyle="1" w:styleId="70">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71">
    <w:name w:val="*正文"/>
    <w:basedOn w:val="1"/>
    <w:link w:val="167"/>
    <w:qFormat/>
    <w:uiPriority w:val="0"/>
    <w:pPr>
      <w:spacing w:line="360" w:lineRule="auto"/>
    </w:pPr>
    <w:rPr>
      <w:rFonts w:ascii="仿宋_GB2312" w:hAnsiTheme="minorHAnsi" w:cstheme="minorBidi"/>
      <w:szCs w:val="28"/>
    </w:rPr>
  </w:style>
  <w:style w:type="character" w:customStyle="1" w:styleId="72">
    <w:name w:val="b-free-read-leaf"/>
    <w:basedOn w:val="47"/>
    <w:qFormat/>
    <w:uiPriority w:val="0"/>
  </w:style>
  <w:style w:type="paragraph" w:customStyle="1" w:styleId="73">
    <w:name w:val="修订2"/>
    <w:hidden/>
    <w:unhideWhenUsed/>
    <w:qFormat/>
    <w:uiPriority w:val="99"/>
    <w:rPr>
      <w:rFonts w:ascii="Times New Roman" w:hAnsi="Times New Roman" w:cs="Times New Roman" w:eastAsiaTheme="minorEastAsia"/>
      <w:sz w:val="24"/>
      <w:szCs w:val="24"/>
      <w:lang w:val="en-US" w:eastAsia="zh-CN" w:bidi="ar-SA"/>
    </w:rPr>
  </w:style>
  <w:style w:type="character" w:customStyle="1" w:styleId="74">
    <w:name w:val="HTML 预设格式 Char"/>
    <w:basedOn w:val="47"/>
    <w:link w:val="39"/>
    <w:qFormat/>
    <w:uiPriority w:val="0"/>
    <w:rPr>
      <w:rFonts w:ascii="宋体" w:hAnsi="宋体" w:eastAsia="宋体"/>
      <w:sz w:val="24"/>
      <w:szCs w:val="24"/>
    </w:rPr>
  </w:style>
  <w:style w:type="paragraph" w:customStyle="1" w:styleId="75">
    <w:name w:val="Other|1"/>
    <w:basedOn w:val="1"/>
    <w:qFormat/>
    <w:uiPriority w:val="0"/>
    <w:pPr>
      <w:widowControl w:val="0"/>
      <w:spacing w:after="240" w:line="480" w:lineRule="auto"/>
      <w:ind w:firstLine="400"/>
      <w:jc w:val="both"/>
    </w:pPr>
    <w:rPr>
      <w:rFonts w:ascii="宋体" w:hAnsi="宋体" w:eastAsia="宋体" w:cs="宋体"/>
      <w:kern w:val="2"/>
      <w:sz w:val="21"/>
      <w:szCs w:val="22"/>
      <w:lang w:val="zh-TW" w:eastAsia="zh-TW" w:bidi="zh-TW"/>
    </w:rPr>
  </w:style>
  <w:style w:type="paragraph" w:customStyle="1" w:styleId="76">
    <w:name w:val="Table Paragraph"/>
    <w:basedOn w:val="1"/>
    <w:qFormat/>
    <w:uiPriority w:val="0"/>
    <w:pPr>
      <w:widowControl w:val="0"/>
      <w:jc w:val="both"/>
    </w:pPr>
    <w:rPr>
      <w:rFonts w:hint="eastAsia" w:ascii="宋体" w:hAnsi="宋体" w:eastAsia="宋体"/>
      <w:color w:val="000000"/>
      <w:kern w:val="2"/>
      <w:sz w:val="21"/>
      <w:szCs w:val="21"/>
    </w:rPr>
  </w:style>
  <w:style w:type="table" w:customStyle="1" w:styleId="77">
    <w:name w:val="网格型1"/>
    <w:basedOn w:val="4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8">
    <w:name w:val="标题 3 Char"/>
    <w:basedOn w:val="47"/>
    <w:link w:val="5"/>
    <w:qFormat/>
    <w:uiPriority w:val="0"/>
    <w:rPr>
      <w:rFonts w:ascii="Arial" w:hAnsi="Arial" w:eastAsia="宋体"/>
      <w:sz w:val="32"/>
      <w:szCs w:val="32"/>
    </w:rPr>
  </w:style>
  <w:style w:type="character" w:customStyle="1" w:styleId="79">
    <w:name w:val="标题 4 Char"/>
    <w:basedOn w:val="47"/>
    <w:link w:val="6"/>
    <w:qFormat/>
    <w:uiPriority w:val="0"/>
    <w:rPr>
      <w:rFonts w:ascii="Cambria" w:hAnsi="Cambria" w:eastAsia="宋体"/>
      <w:b/>
      <w:bCs/>
      <w:sz w:val="28"/>
      <w:szCs w:val="28"/>
    </w:rPr>
  </w:style>
  <w:style w:type="character" w:customStyle="1" w:styleId="80">
    <w:name w:val="标题 5 Char"/>
    <w:basedOn w:val="47"/>
    <w:link w:val="7"/>
    <w:qFormat/>
    <w:uiPriority w:val="0"/>
    <w:rPr>
      <w:rFonts w:ascii="Cambria" w:hAnsi="Cambria" w:eastAsia="宋体"/>
      <w:color w:val="243F60"/>
      <w:sz w:val="22"/>
      <w:lang w:eastAsia="en-US"/>
    </w:rPr>
  </w:style>
  <w:style w:type="character" w:customStyle="1" w:styleId="81">
    <w:name w:val="标题 6 Char"/>
    <w:basedOn w:val="47"/>
    <w:link w:val="8"/>
    <w:qFormat/>
    <w:uiPriority w:val="0"/>
    <w:rPr>
      <w:rFonts w:ascii="Cambria" w:hAnsi="Cambria" w:eastAsia="宋体"/>
      <w:i/>
      <w:iCs/>
      <w:color w:val="243F60"/>
      <w:sz w:val="22"/>
      <w:lang w:eastAsia="en-US"/>
    </w:rPr>
  </w:style>
  <w:style w:type="character" w:customStyle="1" w:styleId="82">
    <w:name w:val="标题 7 Char"/>
    <w:basedOn w:val="47"/>
    <w:link w:val="9"/>
    <w:qFormat/>
    <w:uiPriority w:val="0"/>
    <w:rPr>
      <w:rFonts w:ascii="Calibri" w:hAnsi="Calibri" w:eastAsia="宋体"/>
      <w:b/>
      <w:sz w:val="28"/>
    </w:rPr>
  </w:style>
  <w:style w:type="character" w:customStyle="1" w:styleId="83">
    <w:name w:val="标题 8 Char"/>
    <w:basedOn w:val="47"/>
    <w:link w:val="11"/>
    <w:qFormat/>
    <w:uiPriority w:val="0"/>
    <w:rPr>
      <w:rFonts w:ascii="Arial" w:hAnsi="Arial" w:eastAsia="黑体"/>
      <w:sz w:val="28"/>
    </w:rPr>
  </w:style>
  <w:style w:type="character" w:customStyle="1" w:styleId="84">
    <w:name w:val="标题 9 Char"/>
    <w:basedOn w:val="47"/>
    <w:link w:val="12"/>
    <w:qFormat/>
    <w:uiPriority w:val="0"/>
    <w:rPr>
      <w:rFonts w:ascii="Arial" w:hAnsi="Arial" w:eastAsia="黑体"/>
    </w:rPr>
  </w:style>
  <w:style w:type="paragraph" w:customStyle="1" w:styleId="85">
    <w:name w:val="NormalIndent"/>
    <w:basedOn w:val="1"/>
    <w:qFormat/>
    <w:uiPriority w:val="0"/>
    <w:pPr>
      <w:spacing w:after="120"/>
      <w:ind w:firstLine="482"/>
    </w:pPr>
    <w:rPr>
      <w:rFonts w:ascii="宋体" w:hAnsi="宋体" w:eastAsia="宋体" w:cs="宋体"/>
    </w:rPr>
  </w:style>
  <w:style w:type="character" w:customStyle="1" w:styleId="86">
    <w:name w:val="标题 1 Char1"/>
    <w:qFormat/>
    <w:locked/>
    <w:uiPriority w:val="0"/>
    <w:rPr>
      <w:rFonts w:ascii="Arial" w:hAnsi="Arial" w:eastAsia="宋体" w:cs="Times New Roman"/>
      <w:kern w:val="44"/>
      <w:sz w:val="44"/>
      <w:szCs w:val="44"/>
    </w:rPr>
  </w:style>
  <w:style w:type="character" w:customStyle="1" w:styleId="87">
    <w:name w:val="正文缩进 Char"/>
    <w:link w:val="10"/>
    <w:qFormat/>
    <w:locked/>
    <w:uiPriority w:val="0"/>
    <w:rPr>
      <w:rFonts w:ascii="Arial" w:hAnsi="Arial" w:eastAsia="宋体"/>
      <w:szCs w:val="24"/>
    </w:rPr>
  </w:style>
  <w:style w:type="character" w:customStyle="1" w:styleId="88">
    <w:name w:val="称呼 Char"/>
    <w:basedOn w:val="47"/>
    <w:semiHidden/>
    <w:qFormat/>
    <w:uiPriority w:val="1"/>
    <w:rPr>
      <w:sz w:val="24"/>
      <w:szCs w:val="24"/>
    </w:rPr>
  </w:style>
  <w:style w:type="character" w:customStyle="1" w:styleId="89">
    <w:name w:val="称呼 Char1"/>
    <w:link w:val="18"/>
    <w:qFormat/>
    <w:uiPriority w:val="0"/>
    <w:rPr>
      <w:rFonts w:ascii="Verdana" w:hAnsi="Verdana" w:eastAsia="仿宋_GB2312"/>
      <w:kern w:val="2"/>
      <w:sz w:val="24"/>
      <w:lang w:eastAsia="en-US"/>
    </w:rPr>
  </w:style>
  <w:style w:type="character" w:customStyle="1" w:styleId="90">
    <w:name w:val="正文文本 3 Char"/>
    <w:basedOn w:val="47"/>
    <w:qFormat/>
    <w:uiPriority w:val="0"/>
    <w:rPr>
      <w:sz w:val="16"/>
      <w:szCs w:val="16"/>
    </w:rPr>
  </w:style>
  <w:style w:type="character" w:customStyle="1" w:styleId="91">
    <w:name w:val="正文文本 3 Char1"/>
    <w:link w:val="19"/>
    <w:qFormat/>
    <w:uiPriority w:val="0"/>
    <w:rPr>
      <w:rFonts w:ascii="Arial" w:hAnsi="Arial" w:eastAsia="宋体"/>
      <w:sz w:val="16"/>
      <w:szCs w:val="16"/>
    </w:rPr>
  </w:style>
  <w:style w:type="character" w:customStyle="1" w:styleId="92">
    <w:name w:val="正文文本 Char1"/>
    <w:qFormat/>
    <w:uiPriority w:val="0"/>
    <w:rPr>
      <w:rFonts w:eastAsia="宋体"/>
    </w:rPr>
  </w:style>
  <w:style w:type="character" w:customStyle="1" w:styleId="93">
    <w:name w:val="正文文本缩进 Char"/>
    <w:basedOn w:val="47"/>
    <w:link w:val="21"/>
    <w:qFormat/>
    <w:uiPriority w:val="0"/>
    <w:rPr>
      <w:rFonts w:ascii="Arial" w:hAnsi="Arial" w:eastAsia="宋体"/>
      <w:szCs w:val="24"/>
    </w:rPr>
  </w:style>
  <w:style w:type="character" w:customStyle="1" w:styleId="94">
    <w:name w:val="纯文本 Char"/>
    <w:basedOn w:val="47"/>
    <w:qFormat/>
    <w:uiPriority w:val="0"/>
    <w:rPr>
      <w:rFonts w:ascii="宋体" w:hAnsi="Courier New" w:eastAsia="宋体" w:cs="Courier New"/>
      <w:sz w:val="21"/>
      <w:szCs w:val="21"/>
    </w:rPr>
  </w:style>
  <w:style w:type="character" w:customStyle="1" w:styleId="95">
    <w:name w:val="纯文本 Char1"/>
    <w:link w:val="2"/>
    <w:qFormat/>
    <w:uiPriority w:val="0"/>
    <w:rPr>
      <w:rFonts w:ascii="Consolas" w:hAnsi="Consolas" w:eastAsia="宋体"/>
      <w:szCs w:val="21"/>
    </w:rPr>
  </w:style>
  <w:style w:type="character" w:customStyle="1" w:styleId="96">
    <w:name w:val="日期 Char"/>
    <w:basedOn w:val="47"/>
    <w:link w:val="26"/>
    <w:qFormat/>
    <w:uiPriority w:val="0"/>
    <w:rPr>
      <w:rFonts w:eastAsia="宋体"/>
    </w:rPr>
  </w:style>
  <w:style w:type="character" w:customStyle="1" w:styleId="97">
    <w:name w:val="正文文本缩进 2 Char"/>
    <w:basedOn w:val="47"/>
    <w:link w:val="27"/>
    <w:qFormat/>
    <w:uiPriority w:val="0"/>
    <w:rPr>
      <w:rFonts w:eastAsia="宋体"/>
      <w:szCs w:val="24"/>
    </w:rPr>
  </w:style>
  <w:style w:type="character" w:customStyle="1" w:styleId="98">
    <w:name w:val="批注框文本 Char1"/>
    <w:qFormat/>
    <w:uiPriority w:val="0"/>
    <w:rPr>
      <w:sz w:val="18"/>
      <w:szCs w:val="18"/>
    </w:rPr>
  </w:style>
  <w:style w:type="character" w:customStyle="1" w:styleId="99">
    <w:name w:val="页脚 Char1"/>
    <w:qFormat/>
    <w:uiPriority w:val="99"/>
    <w:rPr>
      <w:rFonts w:eastAsia="宋体"/>
      <w:sz w:val="18"/>
      <w:szCs w:val="18"/>
    </w:rPr>
  </w:style>
  <w:style w:type="character" w:customStyle="1" w:styleId="100">
    <w:name w:val="页眉 Char1"/>
    <w:qFormat/>
    <w:uiPriority w:val="99"/>
    <w:rPr>
      <w:sz w:val="18"/>
      <w:szCs w:val="18"/>
    </w:rPr>
  </w:style>
  <w:style w:type="character" w:customStyle="1" w:styleId="101">
    <w:name w:val="副标题 Char2"/>
    <w:qFormat/>
    <w:uiPriority w:val="0"/>
    <w:rPr>
      <w:rFonts w:ascii="Cambria" w:hAnsi="Cambria"/>
      <w:i/>
      <w:iCs/>
      <w:color w:val="4F81BD"/>
      <w:spacing w:val="15"/>
      <w:sz w:val="24"/>
      <w:szCs w:val="24"/>
      <w:lang w:eastAsia="en-US"/>
    </w:rPr>
  </w:style>
  <w:style w:type="character" w:customStyle="1" w:styleId="102">
    <w:name w:val="正文文本缩进 3 Char"/>
    <w:basedOn w:val="47"/>
    <w:link w:val="36"/>
    <w:qFormat/>
    <w:uiPriority w:val="0"/>
    <w:rPr>
      <w:rFonts w:ascii="宋体" w:eastAsia="宋体"/>
      <w:b/>
      <w:bCs/>
      <w:kern w:val="2"/>
      <w:sz w:val="24"/>
      <w:szCs w:val="24"/>
    </w:rPr>
  </w:style>
  <w:style w:type="character" w:customStyle="1" w:styleId="103">
    <w:name w:val="正文文本 2 Char"/>
    <w:basedOn w:val="47"/>
    <w:link w:val="38"/>
    <w:qFormat/>
    <w:uiPriority w:val="0"/>
    <w:rPr>
      <w:rFonts w:eastAsia="宋体"/>
      <w:kern w:val="2"/>
      <w:sz w:val="24"/>
      <w:szCs w:val="24"/>
    </w:rPr>
  </w:style>
  <w:style w:type="character" w:customStyle="1" w:styleId="104">
    <w:name w:val="HTML 预设格式 Char1"/>
    <w:qFormat/>
    <w:uiPriority w:val="99"/>
    <w:rPr>
      <w:rFonts w:ascii="宋体" w:hAnsi="宋体" w:cs="宋体"/>
      <w:sz w:val="24"/>
      <w:szCs w:val="24"/>
    </w:rPr>
  </w:style>
  <w:style w:type="character" w:customStyle="1" w:styleId="105">
    <w:name w:val="标题 Char"/>
    <w:basedOn w:val="47"/>
    <w:qFormat/>
    <w:uiPriority w:val="0"/>
    <w:rPr>
      <w:rFonts w:eastAsia="宋体" w:asciiTheme="majorHAnsi" w:hAnsiTheme="majorHAnsi" w:cstheme="majorBidi"/>
      <w:b/>
      <w:bCs/>
      <w:sz w:val="32"/>
      <w:szCs w:val="32"/>
    </w:rPr>
  </w:style>
  <w:style w:type="character" w:customStyle="1" w:styleId="106">
    <w:name w:val="标题 Char2"/>
    <w:link w:val="41"/>
    <w:qFormat/>
    <w:uiPriority w:val="0"/>
    <w:rPr>
      <w:rFonts w:ascii="Cambria" w:hAnsi="Cambria" w:eastAsia="宋体"/>
      <w:b/>
      <w:bCs/>
      <w:sz w:val="32"/>
      <w:szCs w:val="32"/>
    </w:rPr>
  </w:style>
  <w:style w:type="character" w:customStyle="1" w:styleId="107">
    <w:name w:val="正文首行缩进 Char1"/>
    <w:qFormat/>
    <w:uiPriority w:val="0"/>
    <w:rPr>
      <w:rFonts w:ascii="Verdana" w:hAnsi="Verdana" w:eastAsia="仿宋_GB2312"/>
      <w:kern w:val="2"/>
      <w:sz w:val="21"/>
      <w:szCs w:val="24"/>
      <w:lang w:eastAsia="en-US"/>
    </w:rPr>
  </w:style>
  <w:style w:type="character" w:customStyle="1" w:styleId="108">
    <w:name w:val="正文首行缩进 2 Char"/>
    <w:basedOn w:val="93"/>
    <w:semiHidden/>
    <w:qFormat/>
    <w:uiPriority w:val="1"/>
    <w:rPr>
      <w:rFonts w:ascii="Arial" w:hAnsi="Arial" w:eastAsia="宋体"/>
      <w:szCs w:val="24"/>
    </w:rPr>
  </w:style>
  <w:style w:type="character" w:customStyle="1" w:styleId="109">
    <w:name w:val="正文首行缩进 2 Char1"/>
    <w:basedOn w:val="110"/>
    <w:link w:val="44"/>
    <w:qFormat/>
    <w:uiPriority w:val="1"/>
    <w:rPr>
      <w:rFonts w:ascii="宋体" w:hAnsi="宋体" w:eastAsia="宋体"/>
      <w:kern w:val="2"/>
      <w:sz w:val="24"/>
      <w:szCs w:val="24"/>
    </w:rPr>
  </w:style>
  <w:style w:type="character" w:customStyle="1" w:styleId="110">
    <w:name w:val="正文文本缩进 字符"/>
    <w:qFormat/>
    <w:uiPriority w:val="0"/>
    <w:rPr>
      <w:kern w:val="2"/>
      <w:sz w:val="21"/>
      <w:szCs w:val="24"/>
    </w:rPr>
  </w:style>
  <w:style w:type="table" w:customStyle="1" w:styleId="111">
    <w:name w:val="网格型2"/>
    <w:basedOn w:val="45"/>
    <w:qFormat/>
    <w:uiPriority w:val="0"/>
    <w:pPr>
      <w:widowControl w:val="0"/>
      <w:spacing w:afterLines="25" w:line="300" w:lineRule="auto"/>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2">
    <w:name w:val="（符号）三标题1.1 Char"/>
    <w:link w:val="113"/>
    <w:qFormat/>
    <w:uiPriority w:val="0"/>
    <w:rPr>
      <w:rFonts w:ascii="宋体" w:hAnsi="宋体"/>
      <w:sz w:val="24"/>
    </w:rPr>
  </w:style>
  <w:style w:type="paragraph" w:customStyle="1" w:styleId="113">
    <w:name w:val="（符号）三标题1.1"/>
    <w:basedOn w:val="1"/>
    <w:link w:val="112"/>
    <w:qFormat/>
    <w:uiPriority w:val="0"/>
    <w:pPr>
      <w:widowControl w:val="0"/>
      <w:tabs>
        <w:tab w:val="left" w:pos="700"/>
        <w:tab w:val="left" w:pos="1200"/>
      </w:tabs>
      <w:spacing w:line="500" w:lineRule="exact"/>
      <w:ind w:left="624"/>
      <w:jc w:val="both"/>
    </w:pPr>
    <w:rPr>
      <w:rFonts w:ascii="宋体" w:hAnsi="宋体"/>
      <w:szCs w:val="20"/>
    </w:rPr>
  </w:style>
  <w:style w:type="character" w:customStyle="1" w:styleId="114">
    <w:name w:val="font101"/>
    <w:basedOn w:val="47"/>
    <w:qFormat/>
    <w:uiPriority w:val="0"/>
    <w:rPr>
      <w:rFonts w:ascii="Arial" w:hAnsi="Arial" w:cs="Arial"/>
      <w:color w:val="000000"/>
      <w:sz w:val="22"/>
      <w:szCs w:val="22"/>
      <w:u w:val="none"/>
    </w:rPr>
  </w:style>
  <w:style w:type="character" w:customStyle="1" w:styleId="115">
    <w:name w:val="批注主题 字符"/>
    <w:qFormat/>
    <w:uiPriority w:val="0"/>
    <w:rPr>
      <w:rFonts w:ascii="宋体" w:hAnsi="Verdana" w:eastAsia="仿宋_GB2312"/>
      <w:b/>
      <w:bCs/>
      <w:kern w:val="2"/>
      <w:sz w:val="21"/>
      <w:szCs w:val="24"/>
      <w:lang w:eastAsia="en-US"/>
    </w:rPr>
  </w:style>
  <w:style w:type="character" w:customStyle="1" w:styleId="116">
    <w:name w:val="12blk1"/>
    <w:qFormat/>
    <w:uiPriority w:val="0"/>
    <w:rPr>
      <w:rFonts w:hint="default" w:ascii="ˎ̥" w:hAnsi="ˎ̥"/>
      <w:color w:val="000000"/>
      <w:sz w:val="18"/>
      <w:szCs w:val="18"/>
      <w:u w:val="none"/>
    </w:rPr>
  </w:style>
  <w:style w:type="character" w:customStyle="1" w:styleId="117">
    <w:name w:val="Char Char Char Char Char Char"/>
    <w:link w:val="118"/>
    <w:qFormat/>
    <w:uiPriority w:val="0"/>
    <w:rPr>
      <w:rFonts w:ascii="Verdana" w:hAnsi="Verdana" w:eastAsia="仿宋_GB2312"/>
      <w:sz w:val="24"/>
      <w:lang w:eastAsia="en-US"/>
    </w:rPr>
  </w:style>
  <w:style w:type="paragraph" w:customStyle="1" w:styleId="118">
    <w:name w:val="Char Char Char Char"/>
    <w:basedOn w:val="1"/>
    <w:link w:val="117"/>
    <w:qFormat/>
    <w:uiPriority w:val="0"/>
    <w:pPr>
      <w:spacing w:after="160" w:line="240" w:lineRule="exact"/>
    </w:pPr>
    <w:rPr>
      <w:rFonts w:ascii="Verdana" w:hAnsi="Verdana" w:eastAsia="仿宋_GB2312"/>
      <w:szCs w:val="20"/>
      <w:lang w:eastAsia="en-US"/>
    </w:rPr>
  </w:style>
  <w:style w:type="character" w:customStyle="1" w:styleId="119">
    <w:name w:val="ca-22"/>
    <w:basedOn w:val="47"/>
    <w:qFormat/>
    <w:uiPriority w:val="0"/>
  </w:style>
  <w:style w:type="character" w:customStyle="1" w:styleId="120">
    <w:name w:val="引用 Char2"/>
    <w:link w:val="121"/>
    <w:qFormat/>
    <w:uiPriority w:val="0"/>
    <w:rPr>
      <w:rFonts w:ascii="Calibri" w:hAnsi="Calibri"/>
      <w:i/>
      <w:iCs/>
      <w:color w:val="000000"/>
      <w:sz w:val="22"/>
      <w:lang w:eastAsia="en-US"/>
    </w:rPr>
  </w:style>
  <w:style w:type="paragraph" w:styleId="121">
    <w:name w:val="Quote"/>
    <w:basedOn w:val="1"/>
    <w:next w:val="1"/>
    <w:link w:val="120"/>
    <w:qFormat/>
    <w:uiPriority w:val="0"/>
    <w:pPr>
      <w:spacing w:line="276" w:lineRule="auto"/>
    </w:pPr>
    <w:rPr>
      <w:rFonts w:ascii="Calibri" w:hAnsi="Calibri"/>
      <w:i/>
      <w:iCs/>
      <w:color w:val="000000"/>
      <w:sz w:val="22"/>
      <w:szCs w:val="20"/>
      <w:lang w:eastAsia="en-US"/>
    </w:rPr>
  </w:style>
  <w:style w:type="character" w:customStyle="1" w:styleId="122">
    <w:name w:val="引用 Char"/>
    <w:basedOn w:val="47"/>
    <w:qFormat/>
    <w:uiPriority w:val="0"/>
    <w:rPr>
      <w:i/>
      <w:iCs/>
      <w:color w:val="000000" w:themeColor="text1"/>
      <w:sz w:val="24"/>
      <w:szCs w:val="24"/>
      <w14:textFill>
        <w14:solidFill>
          <w14:schemeClr w14:val="tx1"/>
        </w14:solidFill>
      </w14:textFill>
    </w:rPr>
  </w:style>
  <w:style w:type="character" w:customStyle="1" w:styleId="123">
    <w:name w:val="hilite6"/>
    <w:qFormat/>
    <w:uiPriority w:val="0"/>
    <w:rPr>
      <w:color w:val="000000"/>
    </w:rPr>
  </w:style>
  <w:style w:type="character" w:customStyle="1" w:styleId="124">
    <w:name w:val="Char Char9"/>
    <w:qFormat/>
    <w:uiPriority w:val="0"/>
    <w:rPr>
      <w:rFonts w:ascii="宋体" w:hAnsi="宋体" w:eastAsia="黑体"/>
      <w:b/>
      <w:color w:val="FF0000"/>
      <w:kern w:val="44"/>
      <w:sz w:val="32"/>
      <w:szCs w:val="32"/>
    </w:rPr>
  </w:style>
  <w:style w:type="character" w:customStyle="1" w:styleId="125">
    <w:name w:val="font21"/>
    <w:qFormat/>
    <w:uiPriority w:val="0"/>
    <w:rPr>
      <w:rFonts w:ascii="宋体" w:hAnsi="宋体" w:eastAsia="宋体" w:cs="宋体"/>
      <w:b/>
      <w:color w:val="000000"/>
      <w:sz w:val="20"/>
      <w:szCs w:val="20"/>
      <w:u w:val="none"/>
    </w:rPr>
  </w:style>
  <w:style w:type="character" w:customStyle="1" w:styleId="126">
    <w:name w:val="fielderror"/>
    <w:qFormat/>
    <w:uiPriority w:val="0"/>
    <w:rPr>
      <w:color w:val="800000"/>
    </w:rPr>
  </w:style>
  <w:style w:type="character" w:customStyle="1" w:styleId="127">
    <w:name w:val="hilite4"/>
    <w:qFormat/>
    <w:uiPriority w:val="0"/>
    <w:rPr>
      <w:color w:val="000000"/>
    </w:rPr>
  </w:style>
  <w:style w:type="character" w:customStyle="1" w:styleId="128">
    <w:name w:val="apple-converted-space"/>
    <w:basedOn w:val="47"/>
    <w:qFormat/>
    <w:uiPriority w:val="0"/>
  </w:style>
  <w:style w:type="character" w:customStyle="1" w:styleId="129">
    <w:name w:val="文档结构图 字符"/>
    <w:qFormat/>
    <w:uiPriority w:val="0"/>
    <w:rPr>
      <w:kern w:val="2"/>
      <w:sz w:val="21"/>
      <w:szCs w:val="24"/>
      <w:shd w:val="clear" w:color="auto" w:fill="000080"/>
    </w:rPr>
  </w:style>
  <w:style w:type="character" w:customStyle="1" w:styleId="130">
    <w:name w:val="标题 1 字符"/>
    <w:qFormat/>
    <w:uiPriority w:val="0"/>
    <w:rPr>
      <w:rFonts w:ascii="宋体" w:hAnsi="宋体" w:eastAsia="黑体"/>
      <w:b/>
      <w:bCs/>
      <w:kern w:val="44"/>
      <w:sz w:val="28"/>
      <w:szCs w:val="44"/>
      <w:lang w:val="en-US" w:eastAsia="zh-CN" w:bidi="ar-SA"/>
    </w:rPr>
  </w:style>
  <w:style w:type="character" w:customStyle="1" w:styleId="131">
    <w:name w:val="MAICO Bold Zchn"/>
    <w:link w:val="132"/>
    <w:qFormat/>
    <w:uiPriority w:val="0"/>
    <w:rPr>
      <w:rFonts w:ascii="FrutBold" w:hAnsi="FrutBold" w:eastAsia="宋体"/>
      <w:sz w:val="28"/>
      <w:szCs w:val="28"/>
      <w:lang w:val="en-GB"/>
    </w:rPr>
  </w:style>
  <w:style w:type="paragraph" w:customStyle="1" w:styleId="132">
    <w:name w:val="MAICO Bold"/>
    <w:basedOn w:val="1"/>
    <w:link w:val="131"/>
    <w:qFormat/>
    <w:uiPriority w:val="0"/>
    <w:pPr>
      <w:tabs>
        <w:tab w:val="left" w:pos="709"/>
        <w:tab w:val="right" w:pos="1701"/>
      </w:tabs>
      <w:ind w:right="112"/>
    </w:pPr>
    <w:rPr>
      <w:rFonts w:ascii="FrutBold" w:hAnsi="FrutBold" w:eastAsia="宋体"/>
      <w:sz w:val="28"/>
      <w:szCs w:val="28"/>
      <w:lang w:val="en-GB"/>
    </w:rPr>
  </w:style>
  <w:style w:type="character" w:customStyle="1" w:styleId="133">
    <w:name w:val="inline-help"/>
    <w:qFormat/>
    <w:uiPriority w:val="0"/>
    <w:rPr>
      <w:rFonts w:ascii="Verdana" w:hAnsi="Verdana" w:eastAsia="仿宋_GB2312"/>
      <w:kern w:val="0"/>
      <w:sz w:val="24"/>
      <w:szCs w:val="20"/>
      <w:lang w:eastAsia="en-US"/>
    </w:rPr>
  </w:style>
  <w:style w:type="character" w:customStyle="1" w:styleId="134">
    <w:name w:val="font71"/>
    <w:qFormat/>
    <w:uiPriority w:val="0"/>
    <w:rPr>
      <w:rFonts w:ascii="宋体" w:hAnsi="宋体" w:eastAsia="宋体" w:cs="宋体"/>
      <w:color w:val="000000"/>
      <w:sz w:val="18"/>
      <w:szCs w:val="18"/>
      <w:u w:val="none"/>
    </w:rPr>
  </w:style>
  <w:style w:type="character" w:customStyle="1" w:styleId="135">
    <w:name w:val="font51"/>
    <w:basedOn w:val="47"/>
    <w:qFormat/>
    <w:uiPriority w:val="0"/>
    <w:rPr>
      <w:rFonts w:hint="default" w:ascii="Times New Roman" w:hAnsi="Times New Roman" w:cs="Times New Roman"/>
      <w:color w:val="000000"/>
      <w:sz w:val="20"/>
      <w:szCs w:val="20"/>
      <w:u w:val="none"/>
    </w:rPr>
  </w:style>
  <w:style w:type="character" w:customStyle="1" w:styleId="136">
    <w:name w:val="正文缩进 Char1"/>
    <w:qFormat/>
    <w:locked/>
    <w:uiPriority w:val="0"/>
    <w:rPr>
      <w:rFonts w:ascii="Arial" w:hAnsi="Arial" w:eastAsia="宋体"/>
      <w:kern w:val="2"/>
      <w:sz w:val="21"/>
      <w:szCs w:val="24"/>
      <w:lang w:val="en-US" w:eastAsia="zh-CN" w:bidi="ar-SA"/>
    </w:rPr>
  </w:style>
  <w:style w:type="character" w:customStyle="1" w:styleId="137">
    <w:name w:val="font31"/>
    <w:qFormat/>
    <w:uiPriority w:val="0"/>
    <w:rPr>
      <w:rFonts w:hint="eastAsia" w:ascii="宋体" w:hAnsi="宋体" w:eastAsia="宋体" w:cs="宋体"/>
      <w:color w:val="000000"/>
      <w:sz w:val="20"/>
      <w:szCs w:val="20"/>
      <w:u w:val="none"/>
    </w:rPr>
  </w:style>
  <w:style w:type="character" w:customStyle="1" w:styleId="138">
    <w:name w:val="样式 仿宋"/>
    <w:qFormat/>
    <w:uiPriority w:val="0"/>
    <w:rPr>
      <w:rFonts w:ascii="仿宋" w:hAnsi="仿宋" w:eastAsia="仿宋"/>
      <w:kern w:val="1"/>
    </w:rPr>
  </w:style>
  <w:style w:type="character" w:customStyle="1" w:styleId="139">
    <w:name w:val="font01"/>
    <w:qFormat/>
    <w:uiPriority w:val="0"/>
    <w:rPr>
      <w:rFonts w:hint="default" w:ascii="Arial" w:hAnsi="Arial" w:cs="Arial"/>
      <w:color w:val="000000"/>
      <w:sz w:val="20"/>
      <w:szCs w:val="20"/>
      <w:u w:val="none"/>
    </w:rPr>
  </w:style>
  <w:style w:type="character" w:customStyle="1" w:styleId="140">
    <w:name w:val="正文缩进 字符"/>
    <w:qFormat/>
    <w:uiPriority w:val="0"/>
    <w:rPr>
      <w:rFonts w:ascii="Arial" w:hAnsi="Arial" w:eastAsia="宋体"/>
      <w:kern w:val="2"/>
      <w:sz w:val="21"/>
      <w:szCs w:val="24"/>
      <w:lang w:val="en-US" w:eastAsia="zh-CN" w:bidi="ar-SA"/>
    </w:rPr>
  </w:style>
  <w:style w:type="character" w:customStyle="1" w:styleId="141">
    <w:name w:val="引用 Char1"/>
    <w:qFormat/>
    <w:uiPriority w:val="29"/>
    <w:rPr>
      <w:rFonts w:ascii="宋体" w:hAnsi="宋体" w:eastAsia="宋体" w:cs="宋体"/>
      <w:i/>
      <w:iCs/>
      <w:color w:val="000000"/>
      <w:kern w:val="0"/>
      <w:sz w:val="24"/>
      <w:szCs w:val="24"/>
    </w:rPr>
  </w:style>
  <w:style w:type="character" w:customStyle="1" w:styleId="142">
    <w:name w:val="明显引用 Char1"/>
    <w:qFormat/>
    <w:uiPriority w:val="30"/>
    <w:rPr>
      <w:rFonts w:ascii="宋体" w:hAnsi="宋体" w:eastAsia="宋体" w:cs="宋体"/>
      <w:b/>
      <w:bCs/>
      <w:i/>
      <w:iCs/>
      <w:color w:val="4F81BD"/>
      <w:kern w:val="0"/>
      <w:sz w:val="24"/>
      <w:szCs w:val="24"/>
    </w:rPr>
  </w:style>
  <w:style w:type="character" w:customStyle="1" w:styleId="143">
    <w:name w:val="正文文本 字符"/>
    <w:qFormat/>
    <w:uiPriority w:val="0"/>
    <w:rPr>
      <w:rFonts w:ascii="Verdana" w:hAnsi="Verdana" w:eastAsia="仿宋_GB2312"/>
      <w:b/>
      <w:bCs/>
      <w:kern w:val="2"/>
      <w:sz w:val="24"/>
      <w:szCs w:val="24"/>
      <w:lang w:eastAsia="en-US"/>
    </w:rPr>
  </w:style>
  <w:style w:type="character" w:customStyle="1" w:styleId="144">
    <w:name w:val="列出段落 Char"/>
    <w:link w:val="68"/>
    <w:qFormat/>
    <w:locked/>
    <w:uiPriority w:val="99"/>
    <w:rPr>
      <w:rFonts w:asciiTheme="minorHAnsi" w:hAnsiTheme="minorHAnsi" w:cstheme="minorBidi"/>
      <w:kern w:val="2"/>
      <w:sz w:val="21"/>
      <w:szCs w:val="22"/>
    </w:rPr>
  </w:style>
  <w:style w:type="character" w:customStyle="1" w:styleId="145">
    <w:name w:val="标题 2 Char2"/>
    <w:qFormat/>
    <w:uiPriority w:val="0"/>
    <w:rPr>
      <w:rFonts w:ascii="Times New Roman" w:hAnsi="Times New Roman" w:eastAsia="宋体" w:cs="Times New Roman"/>
      <w:bCs/>
      <w:kern w:val="0"/>
      <w:sz w:val="24"/>
      <w:szCs w:val="20"/>
    </w:rPr>
  </w:style>
  <w:style w:type="character" w:customStyle="1" w:styleId="146">
    <w:name w:val="批注框文本 字符"/>
    <w:qFormat/>
    <w:uiPriority w:val="0"/>
    <w:rPr>
      <w:rFonts w:eastAsia="宋体"/>
      <w:kern w:val="2"/>
      <w:sz w:val="18"/>
      <w:szCs w:val="18"/>
      <w:lang w:val="en-US" w:eastAsia="zh-CN" w:bidi="ar-SA"/>
    </w:rPr>
  </w:style>
  <w:style w:type="character" w:customStyle="1" w:styleId="147">
    <w:name w:val="Default Char"/>
    <w:link w:val="64"/>
    <w:qFormat/>
    <w:uiPriority w:val="0"/>
    <w:rPr>
      <w:rFonts w:ascii="宋体" w:eastAsia="宋体" w:cs="宋体"/>
      <w:color w:val="000000"/>
      <w:sz w:val="24"/>
      <w:szCs w:val="24"/>
    </w:rPr>
  </w:style>
  <w:style w:type="character" w:customStyle="1" w:styleId="148">
    <w:name w:val="标题 2 Char Char"/>
    <w:qFormat/>
    <w:uiPriority w:val="0"/>
    <w:rPr>
      <w:rFonts w:ascii="Arial" w:hAnsi="Arial" w:eastAsia="黑体"/>
      <w:bCs/>
      <w:kern w:val="2"/>
      <w:sz w:val="28"/>
      <w:szCs w:val="32"/>
      <w:lang w:val="en-US" w:eastAsia="zh-CN" w:bidi="ar-SA"/>
    </w:rPr>
  </w:style>
  <w:style w:type="character" w:customStyle="1" w:styleId="149">
    <w:name w:val="apple-style-span"/>
    <w:qFormat/>
    <w:uiPriority w:val="0"/>
    <w:rPr>
      <w:rFonts w:ascii="Verdana" w:hAnsi="Verdana" w:eastAsia="仿宋_GB2312"/>
      <w:kern w:val="0"/>
      <w:sz w:val="24"/>
      <w:szCs w:val="20"/>
      <w:lang w:eastAsia="en-US"/>
    </w:rPr>
  </w:style>
  <w:style w:type="character" w:customStyle="1" w:styleId="150">
    <w:name w:val="0级 Char"/>
    <w:link w:val="151"/>
    <w:qFormat/>
    <w:uiPriority w:val="0"/>
    <w:rPr>
      <w:rFonts w:ascii="宋体" w:hAnsi="宋体"/>
      <w:color w:val="000000"/>
      <w:kern w:val="2"/>
      <w:sz w:val="21"/>
      <w:szCs w:val="21"/>
    </w:rPr>
  </w:style>
  <w:style w:type="paragraph" w:customStyle="1" w:styleId="151">
    <w:name w:val="0级"/>
    <w:basedOn w:val="1"/>
    <w:link w:val="150"/>
    <w:qFormat/>
    <w:uiPriority w:val="0"/>
    <w:pPr>
      <w:widowControl w:val="0"/>
      <w:ind w:left="420" w:hanging="420"/>
      <w:jc w:val="both"/>
    </w:pPr>
    <w:rPr>
      <w:rFonts w:ascii="宋体" w:hAnsi="宋体"/>
      <w:color w:val="000000"/>
      <w:kern w:val="2"/>
      <w:sz w:val="21"/>
      <w:szCs w:val="21"/>
    </w:rPr>
  </w:style>
  <w:style w:type="character" w:customStyle="1" w:styleId="152">
    <w:name w:val="p12"/>
    <w:qFormat/>
    <w:uiPriority w:val="0"/>
    <w:rPr>
      <w:rFonts w:ascii="Verdana" w:hAnsi="Verdana" w:eastAsia="仿宋_GB2312"/>
      <w:kern w:val="0"/>
      <w:sz w:val="24"/>
      <w:szCs w:val="20"/>
      <w:lang w:eastAsia="en-US"/>
    </w:rPr>
  </w:style>
  <w:style w:type="character" w:customStyle="1" w:styleId="153">
    <w:name w:val="明显引用 Char2"/>
    <w:link w:val="154"/>
    <w:qFormat/>
    <w:uiPriority w:val="0"/>
    <w:rPr>
      <w:rFonts w:ascii="Calibri" w:hAnsi="Calibri"/>
      <w:b/>
      <w:bCs/>
      <w:i/>
      <w:iCs/>
      <w:color w:val="4F81BD"/>
      <w:sz w:val="22"/>
      <w:lang w:eastAsia="en-US"/>
    </w:rPr>
  </w:style>
  <w:style w:type="paragraph" w:styleId="154">
    <w:name w:val="Intense Quote"/>
    <w:basedOn w:val="1"/>
    <w:next w:val="1"/>
    <w:link w:val="153"/>
    <w:qFormat/>
    <w:uiPriority w:val="0"/>
    <w:pPr>
      <w:pBdr>
        <w:bottom w:val="single" w:color="4F81BD" w:sz="4" w:space="4"/>
      </w:pBdr>
      <w:spacing w:before="200" w:line="276" w:lineRule="auto"/>
      <w:ind w:left="936" w:right="936"/>
    </w:pPr>
    <w:rPr>
      <w:rFonts w:ascii="Calibri" w:hAnsi="Calibri"/>
      <w:b/>
      <w:bCs/>
      <w:i/>
      <w:iCs/>
      <w:color w:val="4F81BD"/>
      <w:sz w:val="22"/>
      <w:szCs w:val="20"/>
      <w:lang w:eastAsia="en-US"/>
    </w:rPr>
  </w:style>
  <w:style w:type="character" w:customStyle="1" w:styleId="155">
    <w:name w:val="明显引用 Char"/>
    <w:basedOn w:val="47"/>
    <w:qFormat/>
    <w:uiPriority w:val="0"/>
    <w:rPr>
      <w:b/>
      <w:bCs/>
      <w:i/>
      <w:iCs/>
      <w:color w:val="4F81BD" w:themeColor="accent1"/>
      <w:sz w:val="24"/>
      <w:szCs w:val="24"/>
      <w14:textFill>
        <w14:solidFill>
          <w14:schemeClr w14:val="accent1"/>
        </w14:solidFill>
      </w14:textFill>
    </w:rPr>
  </w:style>
  <w:style w:type="character" w:customStyle="1" w:styleId="156">
    <w:name w:val="hilite5"/>
    <w:qFormat/>
    <w:uiPriority w:val="0"/>
    <w:rPr>
      <w:color w:val="000000"/>
    </w:rPr>
  </w:style>
  <w:style w:type="character" w:customStyle="1" w:styleId="157">
    <w:name w:val="hilite"/>
    <w:qFormat/>
    <w:uiPriority w:val="0"/>
    <w:rPr>
      <w:color w:val="000000"/>
    </w:rPr>
  </w:style>
  <w:style w:type="character" w:customStyle="1" w:styleId="158">
    <w:name w:val="批注文字 字符"/>
    <w:qFormat/>
    <w:uiPriority w:val="0"/>
    <w:rPr>
      <w:rFonts w:ascii="宋体" w:hAnsi="Verdana" w:eastAsia="仿宋_GB2312"/>
      <w:kern w:val="0"/>
      <w:sz w:val="34"/>
      <w:szCs w:val="20"/>
      <w:lang w:eastAsia="en-US"/>
    </w:rPr>
  </w:style>
  <w:style w:type="character" w:customStyle="1" w:styleId="159">
    <w:name w:val="active6"/>
    <w:qFormat/>
    <w:uiPriority w:val="0"/>
    <w:rPr>
      <w:color w:val="FFFFFF"/>
    </w:rPr>
  </w:style>
  <w:style w:type="character" w:customStyle="1" w:styleId="160">
    <w:name w:val="标题 2 Char1"/>
    <w:qFormat/>
    <w:uiPriority w:val="9"/>
    <w:rPr>
      <w:bCs/>
      <w:sz w:val="24"/>
    </w:rPr>
  </w:style>
  <w:style w:type="character" w:customStyle="1" w:styleId="161">
    <w:name w:val="font81"/>
    <w:qFormat/>
    <w:uiPriority w:val="0"/>
    <w:rPr>
      <w:rFonts w:hint="eastAsia" w:ascii="宋体" w:hAnsi="宋体" w:eastAsia="宋体" w:cs="宋体"/>
      <w:color w:val="FF0000"/>
      <w:sz w:val="22"/>
      <w:szCs w:val="22"/>
      <w:u w:val="none"/>
    </w:rPr>
  </w:style>
  <w:style w:type="character" w:customStyle="1" w:styleId="162">
    <w:name w:val="v91"/>
    <w:qFormat/>
    <w:uiPriority w:val="0"/>
    <w:rPr>
      <w:sz w:val="18"/>
      <w:szCs w:val="18"/>
    </w:rPr>
  </w:style>
  <w:style w:type="character" w:customStyle="1" w:styleId="163">
    <w:name w:val="font41"/>
    <w:qFormat/>
    <w:uiPriority w:val="0"/>
    <w:rPr>
      <w:rFonts w:hint="default" w:ascii="Times New Roman" w:hAnsi="Times New Roman" w:cs="Times New Roman"/>
      <w:color w:val="000000"/>
      <w:sz w:val="18"/>
      <w:szCs w:val="18"/>
      <w:u w:val="none"/>
    </w:rPr>
  </w:style>
  <w:style w:type="character" w:customStyle="1" w:styleId="164">
    <w:name w:val="content1"/>
    <w:qFormat/>
    <w:uiPriority w:val="0"/>
    <w:rPr>
      <w:rFonts w:hint="default" w:ascii="ˎ̥" w:hAnsi="ˎ̥"/>
      <w:color w:val="000000"/>
      <w:sz w:val="22"/>
      <w:u w:val="none"/>
    </w:rPr>
  </w:style>
  <w:style w:type="character" w:customStyle="1" w:styleId="165">
    <w:name w:val="bodycopy1"/>
    <w:qFormat/>
    <w:uiPriority w:val="0"/>
    <w:rPr>
      <w:rFonts w:hint="default" w:ascii="Arial" w:hAnsi="Arial"/>
      <w:color w:val="000000"/>
      <w:sz w:val="18"/>
      <w:u w:val="none"/>
    </w:rPr>
  </w:style>
  <w:style w:type="character" w:customStyle="1" w:styleId="166">
    <w:name w:val="text_edit editable-title"/>
    <w:qFormat/>
    <w:uiPriority w:val="0"/>
    <w:rPr>
      <w:rFonts w:ascii="Verdana" w:hAnsi="Verdana" w:eastAsia="仿宋_GB2312"/>
      <w:kern w:val="0"/>
      <w:sz w:val="24"/>
      <w:szCs w:val="20"/>
      <w:lang w:eastAsia="en-US"/>
    </w:rPr>
  </w:style>
  <w:style w:type="character" w:customStyle="1" w:styleId="167">
    <w:name w:val="*正文 Char Char"/>
    <w:link w:val="71"/>
    <w:qFormat/>
    <w:uiPriority w:val="0"/>
    <w:rPr>
      <w:rFonts w:ascii="仿宋_GB2312" w:hAnsiTheme="minorHAnsi" w:cstheme="minorBidi"/>
      <w:sz w:val="24"/>
      <w:szCs w:val="28"/>
    </w:rPr>
  </w:style>
  <w:style w:type="character" w:customStyle="1" w:styleId="168">
    <w:name w:val="副标题 Char1"/>
    <w:qFormat/>
    <w:uiPriority w:val="0"/>
    <w:rPr>
      <w:rFonts w:ascii="Calibri Light" w:hAnsi="Calibri Light" w:cs="Times New Roman"/>
      <w:b/>
      <w:bCs/>
      <w:kern w:val="28"/>
      <w:sz w:val="32"/>
      <w:szCs w:val="32"/>
    </w:rPr>
  </w:style>
  <w:style w:type="character" w:customStyle="1" w:styleId="169">
    <w:name w:val="font11"/>
    <w:qFormat/>
    <w:uiPriority w:val="0"/>
    <w:rPr>
      <w:rFonts w:ascii="Arial" w:hAnsi="Arial" w:cs="Arial"/>
      <w:color w:val="FF0000"/>
      <w:sz w:val="22"/>
      <w:szCs w:val="22"/>
      <w:u w:val="none"/>
    </w:rPr>
  </w:style>
  <w:style w:type="character" w:customStyle="1" w:styleId="170">
    <w:name w:val="*正文 Char"/>
    <w:qFormat/>
    <w:uiPriority w:val="0"/>
    <w:rPr>
      <w:rFonts w:ascii="仿宋_GB2312"/>
      <w:sz w:val="24"/>
      <w:szCs w:val="28"/>
    </w:rPr>
  </w:style>
  <w:style w:type="character" w:customStyle="1" w:styleId="171">
    <w:name w:val="三级 Char"/>
    <w:link w:val="172"/>
    <w:qFormat/>
    <w:uiPriority w:val="0"/>
    <w:rPr>
      <w:rFonts w:ascii="宋体" w:hAnsi="宋体"/>
      <w:kern w:val="2"/>
      <w:sz w:val="21"/>
      <w:szCs w:val="21"/>
    </w:rPr>
  </w:style>
  <w:style w:type="paragraph" w:customStyle="1" w:styleId="172">
    <w:name w:val="三级"/>
    <w:basedOn w:val="1"/>
    <w:link w:val="171"/>
    <w:qFormat/>
    <w:uiPriority w:val="0"/>
    <w:pPr>
      <w:widowControl w:val="0"/>
      <w:jc w:val="both"/>
    </w:pPr>
    <w:rPr>
      <w:rFonts w:ascii="宋体" w:hAnsi="宋体"/>
      <w:kern w:val="2"/>
      <w:sz w:val="21"/>
      <w:szCs w:val="21"/>
    </w:rPr>
  </w:style>
  <w:style w:type="character" w:customStyle="1" w:styleId="173">
    <w:name w:val="标题 1 Char Char"/>
    <w:qFormat/>
    <w:uiPriority w:val="0"/>
    <w:rPr>
      <w:rFonts w:ascii="宋体" w:hAnsi="宋体" w:eastAsia="黑体"/>
      <w:b/>
      <w:bCs/>
      <w:kern w:val="44"/>
      <w:sz w:val="28"/>
      <w:szCs w:val="44"/>
      <w:lang w:val="en-US" w:eastAsia="zh-CN" w:bidi="ar-SA"/>
    </w:rPr>
  </w:style>
  <w:style w:type="character" w:customStyle="1" w:styleId="174">
    <w:name w:val="批注框文本 字符1"/>
    <w:qFormat/>
    <w:uiPriority w:val="0"/>
    <w:rPr>
      <w:rFonts w:ascii="Verdana" w:hAnsi="Verdana" w:eastAsia="仿宋_GB2312"/>
      <w:kern w:val="2"/>
      <w:sz w:val="18"/>
      <w:szCs w:val="18"/>
      <w:lang w:eastAsia="en-US"/>
    </w:rPr>
  </w:style>
  <w:style w:type="character" w:customStyle="1" w:styleId="175">
    <w:name w:val="Y_段 Char"/>
    <w:link w:val="176"/>
    <w:qFormat/>
    <w:uiPriority w:val="0"/>
    <w:rPr>
      <w:rFonts w:ascii="宋体"/>
      <w:kern w:val="2"/>
      <w:sz w:val="24"/>
      <w:szCs w:val="21"/>
    </w:rPr>
  </w:style>
  <w:style w:type="paragraph" w:customStyle="1" w:styleId="176">
    <w:name w:val="Y_段"/>
    <w:link w:val="175"/>
    <w:qFormat/>
    <w:uiPriority w:val="0"/>
    <w:pPr>
      <w:spacing w:line="300" w:lineRule="auto"/>
      <w:ind w:firstLine="200" w:firstLineChars="200"/>
      <w:jc w:val="both"/>
    </w:pPr>
    <w:rPr>
      <w:rFonts w:ascii="宋体" w:hAnsi="Times New Roman" w:cs="Times New Roman" w:eastAsiaTheme="minorEastAsia"/>
      <w:kern w:val="2"/>
      <w:sz w:val="24"/>
      <w:szCs w:val="21"/>
      <w:lang w:val="en-US" w:eastAsia="zh-CN" w:bidi="ar-SA"/>
    </w:rPr>
  </w:style>
  <w:style w:type="character" w:customStyle="1" w:styleId="177">
    <w:name w:val="标题 4 字符"/>
    <w:qFormat/>
    <w:uiPriority w:val="0"/>
    <w:rPr>
      <w:rFonts w:ascii="Arial" w:hAnsi="Arial" w:eastAsia="黑体"/>
      <w:b/>
      <w:bCs/>
      <w:kern w:val="2"/>
      <w:sz w:val="28"/>
      <w:szCs w:val="28"/>
      <w:lang w:val="en-US" w:eastAsia="zh-CN" w:bidi="ar-SA"/>
    </w:rPr>
  </w:style>
  <w:style w:type="character" w:customStyle="1" w:styleId="178">
    <w:name w:val="MAICO light Zchn"/>
    <w:link w:val="179"/>
    <w:qFormat/>
    <w:uiPriority w:val="0"/>
    <w:rPr>
      <w:rFonts w:ascii="FrutLigt" w:hAnsi="FrutLigt" w:eastAsia="宋体"/>
      <w:b/>
      <w:sz w:val="28"/>
      <w:szCs w:val="28"/>
      <w:lang w:val="en-GB"/>
    </w:rPr>
  </w:style>
  <w:style w:type="paragraph" w:customStyle="1" w:styleId="179">
    <w:name w:val="MAICO light"/>
    <w:basedOn w:val="1"/>
    <w:link w:val="178"/>
    <w:qFormat/>
    <w:uiPriority w:val="0"/>
    <w:pPr>
      <w:jc w:val="both"/>
      <w:outlineLvl w:val="0"/>
    </w:pPr>
    <w:rPr>
      <w:rFonts w:ascii="FrutLigt" w:hAnsi="FrutLigt" w:eastAsia="宋体"/>
      <w:b/>
      <w:sz w:val="28"/>
      <w:szCs w:val="28"/>
      <w:lang w:val="en-GB"/>
    </w:rPr>
  </w:style>
  <w:style w:type="character" w:customStyle="1" w:styleId="180">
    <w:name w:val="标题 3 字符"/>
    <w:qFormat/>
    <w:uiPriority w:val="0"/>
    <w:rPr>
      <w:rFonts w:ascii="宋体" w:hAnsi="宋体" w:eastAsia="宋体"/>
      <w:b/>
      <w:bCs/>
      <w:kern w:val="2"/>
      <w:sz w:val="28"/>
      <w:szCs w:val="32"/>
      <w:lang w:val="en-US" w:eastAsia="zh-CN" w:bidi="ar-SA"/>
    </w:rPr>
  </w:style>
  <w:style w:type="character" w:customStyle="1" w:styleId="181">
    <w:name w:val="font61"/>
    <w:qFormat/>
    <w:uiPriority w:val="0"/>
    <w:rPr>
      <w:rFonts w:hint="eastAsia" w:ascii="宋体" w:hAnsi="宋体" w:eastAsia="宋体" w:cs="宋体"/>
      <w:color w:val="000000"/>
      <w:sz w:val="18"/>
      <w:szCs w:val="18"/>
      <w:u w:val="none"/>
    </w:rPr>
  </w:style>
  <w:style w:type="character" w:customStyle="1" w:styleId="182">
    <w:name w:val="标题 3 Char2"/>
    <w:qFormat/>
    <w:uiPriority w:val="0"/>
    <w:rPr>
      <w:rFonts w:ascii="宋体" w:hAnsi="宋体"/>
      <w:b/>
      <w:bCs/>
      <w:kern w:val="2"/>
      <w:sz w:val="28"/>
      <w:szCs w:val="32"/>
    </w:rPr>
  </w:style>
  <w:style w:type="character" w:customStyle="1" w:styleId="183">
    <w:name w:val="样式1 Char Char Char Char Char"/>
    <w:link w:val="184"/>
    <w:qFormat/>
    <w:uiPriority w:val="0"/>
    <w:rPr>
      <w:sz w:val="24"/>
    </w:rPr>
  </w:style>
  <w:style w:type="paragraph" w:customStyle="1" w:styleId="184">
    <w:name w:val="样式1"/>
    <w:basedOn w:val="1"/>
    <w:link w:val="183"/>
    <w:qFormat/>
    <w:uiPriority w:val="0"/>
    <w:pPr>
      <w:widowControl w:val="0"/>
      <w:adjustRightInd w:val="0"/>
      <w:spacing w:line="400" w:lineRule="atLeast"/>
      <w:jc w:val="both"/>
      <w:textAlignment w:val="baseline"/>
    </w:pPr>
    <w:rPr>
      <w:szCs w:val="20"/>
    </w:rPr>
  </w:style>
  <w:style w:type="character" w:customStyle="1" w:styleId="185">
    <w:name w:val="标题 3 Char1"/>
    <w:qFormat/>
    <w:uiPriority w:val="0"/>
    <w:rPr>
      <w:rFonts w:ascii="宋体" w:hAnsi="宋体" w:eastAsia="宋体" w:cs="Times New Roman"/>
      <w:b/>
      <w:bCs/>
      <w:sz w:val="28"/>
      <w:szCs w:val="32"/>
    </w:rPr>
  </w:style>
  <w:style w:type="character" w:customStyle="1" w:styleId="186">
    <w:name w:val="font141"/>
    <w:qFormat/>
    <w:uiPriority w:val="0"/>
    <w:rPr>
      <w:rFonts w:ascii="宋体" w:hAnsi="宋体" w:eastAsia="宋体" w:cs="宋体"/>
      <w:color w:val="000000"/>
      <w:sz w:val="20"/>
      <w:szCs w:val="20"/>
      <w:u w:val="none"/>
    </w:rPr>
  </w:style>
  <w:style w:type="character" w:customStyle="1" w:styleId="187">
    <w:name w:val="正文缩进 字符1"/>
    <w:qFormat/>
    <w:uiPriority w:val="0"/>
    <w:rPr>
      <w:rFonts w:eastAsia="宋体"/>
      <w:kern w:val="2"/>
      <w:sz w:val="21"/>
      <w:lang w:val="en-US" w:eastAsia="zh-CN" w:bidi="ar-SA"/>
    </w:rPr>
  </w:style>
  <w:style w:type="character" w:customStyle="1" w:styleId="188">
    <w:name w:val="List Paragraph Char"/>
    <w:link w:val="189"/>
    <w:qFormat/>
    <w:uiPriority w:val="0"/>
    <w:rPr>
      <w:rFonts w:ascii="Calibri" w:hAnsi="Calibri" w:eastAsia="宋体"/>
    </w:rPr>
  </w:style>
  <w:style w:type="paragraph" w:customStyle="1" w:styleId="189">
    <w:name w:val="列出段落3"/>
    <w:basedOn w:val="1"/>
    <w:link w:val="188"/>
    <w:qFormat/>
    <w:uiPriority w:val="0"/>
    <w:pPr>
      <w:widowControl w:val="0"/>
      <w:ind w:firstLine="420" w:firstLineChars="200"/>
      <w:jc w:val="both"/>
    </w:pPr>
    <w:rPr>
      <w:rFonts w:ascii="Calibri" w:hAnsi="Calibri" w:eastAsia="宋体"/>
      <w:sz w:val="20"/>
      <w:szCs w:val="20"/>
    </w:rPr>
  </w:style>
  <w:style w:type="character" w:customStyle="1" w:styleId="190">
    <w:name w:val="headline-content2"/>
    <w:qFormat/>
    <w:uiPriority w:val="0"/>
    <w:rPr>
      <w:rFonts w:ascii="Verdana" w:hAnsi="Verdana" w:eastAsia="仿宋_GB2312"/>
      <w:kern w:val="0"/>
      <w:sz w:val="24"/>
      <w:szCs w:val="20"/>
      <w:lang w:eastAsia="en-US"/>
    </w:rPr>
  </w:style>
  <w:style w:type="character" w:customStyle="1" w:styleId="191">
    <w:name w:val="main1"/>
    <w:qFormat/>
    <w:uiPriority w:val="0"/>
    <w:rPr>
      <w:color w:val="333333"/>
      <w:sz w:val="24"/>
      <w:szCs w:val="24"/>
    </w:rPr>
  </w:style>
  <w:style w:type="character" w:customStyle="1" w:styleId="192">
    <w:name w:val="纯文本 字符"/>
    <w:qFormat/>
    <w:uiPriority w:val="0"/>
    <w:rPr>
      <w:rFonts w:ascii="宋体" w:hAnsi="Courier New" w:eastAsia="仿宋_GB2312"/>
      <w:kern w:val="2"/>
      <w:sz w:val="21"/>
      <w:szCs w:val="20"/>
      <w:lang w:eastAsia="en-US"/>
    </w:rPr>
  </w:style>
  <w:style w:type="character" w:customStyle="1" w:styleId="193">
    <w:name w:val="消息标题号"/>
    <w:qFormat/>
    <w:uiPriority w:val="0"/>
    <w:rPr>
      <w:rFonts w:ascii="Arial" w:hAnsi="Arial" w:eastAsia="楷体_GB2312"/>
      <w:b/>
      <w:bCs/>
      <w:spacing w:val="-4"/>
      <w:sz w:val="18"/>
      <w:szCs w:val="18"/>
      <w:lang w:eastAsia="zh-CN"/>
    </w:rPr>
  </w:style>
  <w:style w:type="character" w:customStyle="1" w:styleId="194">
    <w:name w:val="标题 Char1"/>
    <w:qFormat/>
    <w:uiPriority w:val="0"/>
    <w:rPr>
      <w:rFonts w:ascii="Calibri Light" w:hAnsi="Calibri Light" w:cs="Times New Roman"/>
      <w:b/>
      <w:bCs/>
      <w:kern w:val="2"/>
      <w:sz w:val="32"/>
      <w:szCs w:val="32"/>
    </w:rPr>
  </w:style>
  <w:style w:type="character" w:customStyle="1" w:styleId="195">
    <w:name w:val="active4"/>
    <w:qFormat/>
    <w:uiPriority w:val="0"/>
    <w:rPr>
      <w:color w:val="FFFFFF"/>
    </w:rPr>
  </w:style>
  <w:style w:type="character" w:customStyle="1" w:styleId="196">
    <w:name w:val="页脚 字符"/>
    <w:qFormat/>
    <w:uiPriority w:val="0"/>
    <w:rPr>
      <w:kern w:val="2"/>
      <w:sz w:val="18"/>
      <w:szCs w:val="18"/>
    </w:rPr>
  </w:style>
  <w:style w:type="character" w:customStyle="1" w:styleId="197">
    <w:name w:val="ca-10"/>
    <w:basedOn w:val="47"/>
    <w:qFormat/>
    <w:uiPriority w:val="0"/>
  </w:style>
  <w:style w:type="character" w:customStyle="1" w:styleId="198">
    <w:name w:val="active"/>
    <w:qFormat/>
    <w:uiPriority w:val="0"/>
    <w:rPr>
      <w:color w:val="FFFFFF"/>
    </w:rPr>
  </w:style>
  <w:style w:type="character" w:customStyle="1" w:styleId="199">
    <w:name w:val="纯文本 Char2"/>
    <w:qFormat/>
    <w:uiPriority w:val="0"/>
    <w:rPr>
      <w:rFonts w:ascii="Courier New" w:hAnsi="Courier New"/>
    </w:rPr>
  </w:style>
  <w:style w:type="character" w:customStyle="1" w:styleId="200">
    <w:name w:val="title1"/>
    <w:qFormat/>
    <w:uiPriority w:val="0"/>
    <w:rPr>
      <w:rFonts w:hint="eastAsia" w:ascii="微软雅黑" w:hAnsi="微软雅黑" w:eastAsia="微软雅黑"/>
      <w:sz w:val="21"/>
      <w:szCs w:val="21"/>
    </w:rPr>
  </w:style>
  <w:style w:type="character" w:customStyle="1" w:styleId="201">
    <w:name w:val="标题 2 字符"/>
    <w:qFormat/>
    <w:uiPriority w:val="9"/>
    <w:rPr>
      <w:bCs/>
      <w:sz w:val="24"/>
    </w:rPr>
  </w:style>
  <w:style w:type="character" w:customStyle="1" w:styleId="202">
    <w:name w:val="Char Char7"/>
    <w:qFormat/>
    <w:uiPriority w:val="0"/>
    <w:rPr>
      <w:rFonts w:ascii="宋体" w:hAnsi="宋体" w:eastAsia="宋体" w:cs="宋体"/>
      <w:b/>
      <w:sz w:val="28"/>
      <w:szCs w:val="32"/>
    </w:rPr>
  </w:style>
  <w:style w:type="character" w:customStyle="1" w:styleId="203">
    <w:name w:val="Char Char5"/>
    <w:qFormat/>
    <w:uiPriority w:val="0"/>
    <w:rPr>
      <w:rFonts w:ascii="黑体" w:hAnsi="Verdana" w:eastAsia="黑体"/>
      <w:bCs/>
      <w:kern w:val="44"/>
      <w:sz w:val="30"/>
      <w:szCs w:val="44"/>
      <w:lang w:eastAsia="en-US"/>
    </w:rPr>
  </w:style>
  <w:style w:type="character" w:customStyle="1" w:styleId="204">
    <w:name w:val="Char Char6"/>
    <w:qFormat/>
    <w:uiPriority w:val="0"/>
    <w:rPr>
      <w:rFonts w:ascii="Arial" w:hAnsi="Arial" w:eastAsia="黑体" w:cs="Times New Roman"/>
      <w:b/>
      <w:bCs/>
      <w:sz w:val="28"/>
      <w:szCs w:val="28"/>
    </w:rPr>
  </w:style>
  <w:style w:type="character" w:customStyle="1" w:styleId="205">
    <w:name w:val="sect2title1"/>
    <w:qFormat/>
    <w:uiPriority w:val="0"/>
    <w:rPr>
      <w:rFonts w:hint="eastAsia" w:ascii="微软雅黑" w:hAnsi="微软雅黑" w:eastAsia="微软雅黑"/>
      <w:b/>
      <w:bCs/>
      <w:sz w:val="21"/>
      <w:szCs w:val="21"/>
    </w:rPr>
  </w:style>
  <w:style w:type="character" w:customStyle="1" w:styleId="206">
    <w:name w:val="批注文字 Char1"/>
    <w:semiHidden/>
    <w:qFormat/>
    <w:uiPriority w:val="0"/>
    <w:rPr>
      <w:rFonts w:ascii="Verdana" w:hAnsi="Verdana" w:eastAsia="仿宋_GB2312"/>
      <w:kern w:val="2"/>
      <w:sz w:val="21"/>
      <w:szCs w:val="24"/>
      <w:lang w:eastAsia="en-US"/>
    </w:rPr>
  </w:style>
  <w:style w:type="character" w:customStyle="1" w:styleId="207">
    <w:name w:val="批注主题 Char1"/>
    <w:semiHidden/>
    <w:qFormat/>
    <w:uiPriority w:val="0"/>
    <w:rPr>
      <w:rFonts w:ascii="Verdana" w:hAnsi="Verdana" w:eastAsia="仿宋_GB2312"/>
      <w:b/>
      <w:bCs/>
      <w:kern w:val="2"/>
      <w:sz w:val="21"/>
      <w:szCs w:val="24"/>
      <w:lang w:eastAsia="en-US"/>
    </w:rPr>
  </w:style>
  <w:style w:type="character" w:customStyle="1" w:styleId="208">
    <w:name w:val="文档结构图 Char1"/>
    <w:semiHidden/>
    <w:qFormat/>
    <w:uiPriority w:val="0"/>
    <w:rPr>
      <w:rFonts w:ascii="Microsoft YaHei UI" w:hAnsi="Verdana" w:eastAsia="Microsoft YaHei UI"/>
      <w:kern w:val="2"/>
      <w:sz w:val="18"/>
      <w:szCs w:val="18"/>
      <w:lang w:eastAsia="en-US"/>
    </w:rPr>
  </w:style>
  <w:style w:type="character" w:customStyle="1" w:styleId="209">
    <w:name w:val="标题 2 Char3"/>
    <w:qFormat/>
    <w:uiPriority w:val="9"/>
    <w:rPr>
      <w:bCs/>
      <w:sz w:val="24"/>
    </w:rPr>
  </w:style>
  <w:style w:type="paragraph" w:customStyle="1" w:styleId="2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rPr>
  </w:style>
  <w:style w:type="paragraph" w:customStyle="1" w:styleId="211">
    <w:name w:val="段落"/>
    <w:basedOn w:val="1"/>
    <w:qFormat/>
    <w:uiPriority w:val="0"/>
    <w:pPr>
      <w:widowControl w:val="0"/>
      <w:spacing w:before="120" w:after="120" w:line="0" w:lineRule="atLeast"/>
      <w:ind w:firstLine="567"/>
      <w:jc w:val="both"/>
    </w:pPr>
    <w:rPr>
      <w:rFonts w:eastAsia="宋体"/>
      <w:kern w:val="2"/>
      <w:sz w:val="28"/>
      <w:szCs w:val="20"/>
    </w:rPr>
  </w:style>
  <w:style w:type="paragraph" w:customStyle="1" w:styleId="212">
    <w:name w:val="xl81"/>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bottom"/>
    </w:pPr>
    <w:rPr>
      <w:rFonts w:ascii="Arial Unicode MS" w:hAnsi="Arial Unicode MS" w:eastAsia="Arial Unicode MS" w:cs="Arial Unicode MS"/>
      <w:sz w:val="20"/>
      <w:szCs w:val="20"/>
    </w:rPr>
  </w:style>
  <w:style w:type="paragraph" w:customStyle="1" w:styleId="213">
    <w:name w:val="yiv2125247115msonormal"/>
    <w:basedOn w:val="1"/>
    <w:qFormat/>
    <w:uiPriority w:val="0"/>
    <w:pPr>
      <w:spacing w:before="100" w:beforeAutospacing="1" w:after="100" w:afterAutospacing="1"/>
    </w:pPr>
    <w:rPr>
      <w:rFonts w:ascii="宋体" w:hAnsi="宋体" w:eastAsia="宋体" w:cs="宋体"/>
    </w:rPr>
  </w:style>
  <w:style w:type="paragraph" w:customStyle="1" w:styleId="214">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eastAsia="宋体" w:cs="宋体"/>
      <w:sz w:val="20"/>
      <w:szCs w:val="20"/>
    </w:rPr>
  </w:style>
  <w:style w:type="paragraph" w:customStyle="1" w:styleId="215">
    <w:name w:val="xl45"/>
    <w:basedOn w:val="1"/>
    <w:qFormat/>
    <w:uiPriority w:val="0"/>
    <w:pPr>
      <w:pBdr>
        <w:top w:val="single" w:color="auto" w:sz="8" w:space="0"/>
        <w:left w:val="single" w:color="auto" w:sz="8"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rPr>
  </w:style>
  <w:style w:type="paragraph" w:customStyle="1" w:styleId="216">
    <w:name w:val="xl4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Arial Unicode MS" w:hAnsi="Arial Unicode MS" w:eastAsia="Arial Unicode MS" w:cs="Arial Unicode MS"/>
      <w:sz w:val="20"/>
      <w:szCs w:val="20"/>
    </w:rPr>
  </w:style>
  <w:style w:type="paragraph" w:customStyle="1" w:styleId="217">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sz w:val="20"/>
      <w:szCs w:val="20"/>
    </w:rPr>
  </w:style>
  <w:style w:type="paragraph" w:customStyle="1" w:styleId="218">
    <w:name w:val="说明文字"/>
    <w:qFormat/>
    <w:uiPriority w:val="0"/>
    <w:pPr>
      <w:widowControl w:val="0"/>
      <w:autoSpaceDE w:val="0"/>
      <w:autoSpaceDN w:val="0"/>
      <w:adjustRightInd w:val="0"/>
      <w:spacing w:line="400" w:lineRule="atLeast"/>
      <w:ind w:firstLine="425"/>
      <w:jc w:val="both"/>
    </w:pPr>
    <w:rPr>
      <w:rFonts w:ascii="文鼎CS楷体" w:hAnsi="Times New Roman" w:eastAsia="文鼎CS楷体" w:cs="Times New Roman"/>
      <w:color w:val="000000"/>
      <w:sz w:val="22"/>
      <w:szCs w:val="22"/>
      <w:lang w:val="en-US" w:eastAsia="zh-CN" w:bidi="ar-SA"/>
    </w:rPr>
  </w:style>
  <w:style w:type="paragraph" w:customStyle="1" w:styleId="219">
    <w:name w:val="xl51"/>
    <w:basedOn w:val="1"/>
    <w:qFormat/>
    <w:uiPriority w:val="0"/>
    <w:pPr>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pPr>
    <w:rPr>
      <w:rFonts w:hint="eastAsia" w:ascii="黑体" w:hAnsi="Arial Unicode MS" w:eastAsia="黑体" w:cs="Arial Unicode MS"/>
    </w:rPr>
  </w:style>
  <w:style w:type="paragraph" w:customStyle="1" w:styleId="220">
    <w:name w:val="小标题 1"/>
    <w:basedOn w:val="1"/>
    <w:qFormat/>
    <w:uiPriority w:val="0"/>
    <w:pPr>
      <w:widowControl w:val="0"/>
      <w:autoSpaceDE w:val="0"/>
      <w:autoSpaceDN w:val="0"/>
      <w:adjustRightInd w:val="0"/>
      <w:spacing w:line="360" w:lineRule="atLeast"/>
      <w:jc w:val="both"/>
    </w:pPr>
    <w:rPr>
      <w:rFonts w:ascii="文鼎粗黑" w:eastAsia="文鼎粗黑"/>
      <w:sz w:val="22"/>
      <w:szCs w:val="20"/>
    </w:rPr>
  </w:style>
  <w:style w:type="paragraph" w:customStyle="1" w:styleId="221">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sz w:val="20"/>
      <w:szCs w:val="20"/>
    </w:rPr>
  </w:style>
  <w:style w:type="paragraph" w:customStyle="1" w:styleId="222">
    <w:name w:val="正文1"/>
    <w:basedOn w:val="1"/>
    <w:qFormat/>
    <w:uiPriority w:val="0"/>
    <w:pPr>
      <w:spacing w:after="200" w:line="300" w:lineRule="atLeast"/>
    </w:pPr>
    <w:rPr>
      <w:rFonts w:ascii="Calibri" w:hAnsi="Calibri" w:eastAsia="宋体" w:cs="宋体"/>
      <w:sz w:val="22"/>
      <w:szCs w:val="22"/>
    </w:rPr>
  </w:style>
  <w:style w:type="paragraph" w:customStyle="1" w:styleId="223">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rPr>
  </w:style>
  <w:style w:type="paragraph" w:customStyle="1" w:styleId="224">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eastAsia="宋体" w:cs="宋体"/>
      <w:b/>
      <w:bCs/>
      <w:sz w:val="20"/>
      <w:szCs w:val="20"/>
    </w:rPr>
  </w:style>
  <w:style w:type="paragraph" w:customStyle="1" w:styleId="225">
    <w:name w:val="纯文本1"/>
    <w:basedOn w:val="1"/>
    <w:qFormat/>
    <w:uiPriority w:val="0"/>
    <w:pPr>
      <w:widowControl w:val="0"/>
      <w:adjustRightInd w:val="0"/>
      <w:jc w:val="both"/>
      <w:textAlignment w:val="baseline"/>
    </w:pPr>
    <w:rPr>
      <w:rFonts w:ascii="宋体" w:hAnsi="Courier New" w:eastAsia="楷体_GB2312"/>
      <w:kern w:val="2"/>
      <w:sz w:val="28"/>
      <w:szCs w:val="20"/>
    </w:rPr>
  </w:style>
  <w:style w:type="paragraph" w:customStyle="1" w:styleId="226">
    <w:name w:val="图表文字"/>
    <w:basedOn w:val="1"/>
    <w:qFormat/>
    <w:uiPriority w:val="0"/>
    <w:pPr>
      <w:widowControl w:val="0"/>
      <w:jc w:val="both"/>
    </w:pPr>
    <w:rPr>
      <w:rFonts w:eastAsia="宋体"/>
      <w:kern w:val="2"/>
      <w:sz w:val="21"/>
      <w:szCs w:val="20"/>
    </w:rPr>
  </w:style>
  <w:style w:type="paragraph" w:customStyle="1" w:styleId="227">
    <w:name w:val="列出段落4"/>
    <w:basedOn w:val="1"/>
    <w:qFormat/>
    <w:uiPriority w:val="99"/>
    <w:pPr>
      <w:widowControl w:val="0"/>
      <w:ind w:firstLine="420" w:firstLineChars="200"/>
      <w:jc w:val="both"/>
    </w:pPr>
    <w:rPr>
      <w:rFonts w:ascii="Calibri" w:hAnsi="Calibri" w:eastAsia="宋体"/>
      <w:kern w:val="2"/>
      <w:sz w:val="21"/>
      <w:szCs w:val="22"/>
    </w:rPr>
  </w:style>
  <w:style w:type="paragraph" w:customStyle="1" w:styleId="228">
    <w:name w:val="系统一级标题"/>
    <w:basedOn w:val="229"/>
    <w:qFormat/>
    <w:uiPriority w:val="0"/>
    <w:pPr>
      <w:spacing w:line="480" w:lineRule="auto"/>
      <w:ind w:firstLine="0" w:firstLineChars="0"/>
    </w:pPr>
    <w:rPr>
      <w:rFonts w:ascii="隶书" w:eastAsia="隶书"/>
      <w:sz w:val="28"/>
    </w:rPr>
  </w:style>
  <w:style w:type="paragraph" w:customStyle="1" w:styleId="229">
    <w:name w:val="系统正文"/>
    <w:basedOn w:val="1"/>
    <w:qFormat/>
    <w:uiPriority w:val="0"/>
    <w:pPr>
      <w:widowControl w:val="0"/>
      <w:spacing w:line="420" w:lineRule="exact"/>
      <w:ind w:firstLine="420" w:firstLineChars="200"/>
      <w:jc w:val="both"/>
    </w:pPr>
    <w:rPr>
      <w:rFonts w:ascii="宋体" w:hAnsi="宋体" w:eastAsia="宋体"/>
      <w:kern w:val="2"/>
      <w:sz w:val="21"/>
    </w:rPr>
  </w:style>
  <w:style w:type="paragraph" w:customStyle="1" w:styleId="230">
    <w:name w:val="标题6"/>
    <w:basedOn w:val="1"/>
    <w:qFormat/>
    <w:uiPriority w:val="0"/>
    <w:pPr>
      <w:widowControl w:val="0"/>
      <w:tabs>
        <w:tab w:val="left" w:pos="420"/>
        <w:tab w:val="left" w:pos="840"/>
        <w:tab w:val="left" w:pos="1470"/>
      </w:tabs>
      <w:spacing w:line="480" w:lineRule="atLeast"/>
      <w:ind w:left="1470" w:hanging="420"/>
    </w:pPr>
    <w:rPr>
      <w:rFonts w:eastAsia="仿宋_GB2312"/>
      <w:spacing w:val="10"/>
      <w:kern w:val="2"/>
      <w:sz w:val="30"/>
      <w:szCs w:val="20"/>
    </w:rPr>
  </w:style>
  <w:style w:type="paragraph" w:customStyle="1" w:styleId="231">
    <w:name w:val="(符号)三标题1.1"/>
    <w:basedOn w:val="1"/>
    <w:qFormat/>
    <w:uiPriority w:val="0"/>
    <w:pPr>
      <w:widowControl w:val="0"/>
      <w:tabs>
        <w:tab w:val="left" w:pos="420"/>
        <w:tab w:val="left" w:pos="720"/>
      </w:tabs>
      <w:spacing w:before="140" w:after="140" w:line="500" w:lineRule="exact"/>
      <w:ind w:left="720" w:hanging="360"/>
      <w:jc w:val="both"/>
      <w:outlineLvl w:val="2"/>
    </w:pPr>
    <w:rPr>
      <w:rFonts w:ascii="楷体_GB2312" w:hAnsi="宋体" w:eastAsia="楷体_GB2312"/>
      <w:b/>
      <w:kern w:val="2"/>
      <w:sz w:val="28"/>
      <w:szCs w:val="20"/>
    </w:rPr>
  </w:style>
  <w:style w:type="paragraph" w:customStyle="1" w:styleId="232">
    <w:name w:val="列出段落1"/>
    <w:basedOn w:val="1"/>
    <w:qFormat/>
    <w:uiPriority w:val="34"/>
    <w:pPr>
      <w:widowControl w:val="0"/>
      <w:ind w:firstLine="420" w:firstLineChars="200"/>
      <w:jc w:val="both"/>
    </w:pPr>
    <w:rPr>
      <w:rFonts w:ascii="Calibri" w:hAnsi="Calibri" w:eastAsia="宋体"/>
      <w:kern w:val="2"/>
      <w:sz w:val="21"/>
    </w:rPr>
  </w:style>
  <w:style w:type="paragraph" w:customStyle="1" w:styleId="233">
    <w:name w:val="xl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sz w:val="20"/>
      <w:szCs w:val="20"/>
    </w:rPr>
  </w:style>
  <w:style w:type="paragraph" w:customStyle="1" w:styleId="234">
    <w:name w:val="2册标题3"/>
    <w:basedOn w:val="1"/>
    <w:next w:val="1"/>
    <w:qFormat/>
    <w:uiPriority w:val="0"/>
    <w:pPr>
      <w:widowControl w:val="0"/>
      <w:spacing w:beforeLines="50" w:afterLines="50" w:line="300" w:lineRule="auto"/>
      <w:ind w:left="210" w:leftChars="100"/>
      <w:jc w:val="center"/>
      <w:outlineLvl w:val="2"/>
    </w:pPr>
    <w:rPr>
      <w:rFonts w:ascii="宋体" w:hAnsi="宋体" w:eastAsia="宋体" w:cs="Arial"/>
      <w:b/>
      <w:bCs/>
      <w:kern w:val="2"/>
      <w:sz w:val="30"/>
      <w:szCs w:val="28"/>
    </w:rPr>
  </w:style>
  <w:style w:type="paragraph" w:customStyle="1" w:styleId="235">
    <w:name w:val="列表项目"/>
    <w:basedOn w:val="1"/>
    <w:qFormat/>
    <w:uiPriority w:val="0"/>
    <w:pPr>
      <w:widowControl w:val="0"/>
      <w:tabs>
        <w:tab w:val="left" w:pos="420"/>
        <w:tab w:val="left" w:pos="840"/>
        <w:tab w:val="left" w:pos="1470"/>
      </w:tabs>
      <w:spacing w:line="288" w:lineRule="auto"/>
      <w:ind w:left="355" w:leftChars="200" w:hanging="155" w:hangingChars="155"/>
      <w:jc w:val="both"/>
    </w:pPr>
    <w:rPr>
      <w:rFonts w:eastAsia="宋体"/>
      <w:kern w:val="2"/>
      <w:szCs w:val="20"/>
    </w:rPr>
  </w:style>
  <w:style w:type="paragraph" w:customStyle="1" w:styleId="236">
    <w:name w:val="自由格式"/>
    <w:qFormat/>
    <w:uiPriority w:val="0"/>
    <w:rPr>
      <w:rFonts w:ascii="Helvetica" w:hAnsi="Helvetica" w:eastAsia="ヒラギノ角ゴ Pro W3" w:cs="Times New Roman"/>
      <w:color w:val="000000"/>
      <w:sz w:val="24"/>
      <w:lang w:val="en-US" w:eastAsia="zh-CN" w:bidi="ar-SA"/>
    </w:rPr>
  </w:style>
  <w:style w:type="paragraph" w:customStyle="1" w:styleId="23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sz w:val="20"/>
      <w:szCs w:val="20"/>
    </w:rPr>
  </w:style>
  <w:style w:type="paragraph" w:customStyle="1" w:styleId="238">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239">
    <w:name w:val="xl4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cs="Arial Unicode MS"/>
    </w:rPr>
  </w:style>
  <w:style w:type="paragraph" w:customStyle="1" w:styleId="240">
    <w:name w:val="题注4"/>
    <w:basedOn w:val="1"/>
    <w:next w:val="14"/>
    <w:qFormat/>
    <w:uiPriority w:val="0"/>
    <w:pPr>
      <w:widowControl w:val="0"/>
      <w:ind w:left="-132" w:leftChars="-64" w:right="-105" w:rightChars="-50" w:hanging="2"/>
      <w:jc w:val="center"/>
    </w:pPr>
    <w:rPr>
      <w:rFonts w:eastAsia="宋体"/>
      <w:b/>
      <w:color w:val="FF0000"/>
      <w:kern w:val="2"/>
      <w:sz w:val="21"/>
      <w:szCs w:val="21"/>
      <w:lang w:val="en-GB"/>
    </w:rPr>
  </w:style>
  <w:style w:type="paragraph" w:customStyle="1" w:styleId="24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0"/>
      <w:szCs w:val="20"/>
    </w:rPr>
  </w:style>
  <w:style w:type="paragraph" w:customStyle="1" w:styleId="242">
    <w:name w:val="表格内文字"/>
    <w:basedOn w:val="1"/>
    <w:qFormat/>
    <w:uiPriority w:val="0"/>
    <w:pPr>
      <w:widowControl w:val="0"/>
      <w:jc w:val="both"/>
    </w:pPr>
    <w:rPr>
      <w:rFonts w:eastAsia="宋体"/>
      <w:kern w:val="2"/>
      <w:szCs w:val="20"/>
    </w:rPr>
  </w:style>
  <w:style w:type="paragraph" w:customStyle="1" w:styleId="243">
    <w:name w:val="样式 标题 + (中文) 黑体 五号 非加粗 段前: 6 磅 段后: 6 磅"/>
    <w:basedOn w:val="41"/>
    <w:qFormat/>
    <w:uiPriority w:val="0"/>
    <w:pPr>
      <w:adjustRightInd w:val="0"/>
      <w:snapToGrid w:val="0"/>
      <w:spacing w:before="0" w:after="0" w:line="600" w:lineRule="exact"/>
      <w:outlineLvl w:val="9"/>
    </w:pPr>
    <w:rPr>
      <w:rFonts w:ascii="黑体" w:hAnsi="Times New Roman" w:eastAsia="黑体"/>
      <w:b w:val="0"/>
      <w:bCs w:val="0"/>
      <w:kern w:val="2"/>
      <w:szCs w:val="20"/>
    </w:rPr>
  </w:style>
  <w:style w:type="paragraph" w:customStyle="1" w:styleId="244">
    <w:name w:val="Char"/>
    <w:basedOn w:val="1"/>
    <w:qFormat/>
    <w:uiPriority w:val="0"/>
    <w:pPr>
      <w:spacing w:after="160" w:line="240" w:lineRule="exact"/>
    </w:pPr>
    <w:rPr>
      <w:rFonts w:eastAsia="宋体"/>
      <w:kern w:val="2"/>
      <w:sz w:val="21"/>
    </w:rPr>
  </w:style>
  <w:style w:type="paragraph" w:customStyle="1" w:styleId="245">
    <w:name w:val="Char1 Char Char Char Char Char Char"/>
    <w:basedOn w:val="1"/>
    <w:qFormat/>
    <w:uiPriority w:val="0"/>
    <w:pPr>
      <w:spacing w:after="160" w:line="240" w:lineRule="exact"/>
    </w:pPr>
    <w:rPr>
      <w:rFonts w:eastAsia="宋体"/>
      <w:kern w:val="2"/>
      <w:sz w:val="21"/>
      <w:szCs w:val="20"/>
    </w:rPr>
  </w:style>
  <w:style w:type="paragraph" w:customStyle="1" w:styleId="246">
    <w:name w:val="xl61"/>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b/>
      <w:bCs/>
      <w:color w:val="333399"/>
    </w:rPr>
  </w:style>
  <w:style w:type="paragraph" w:customStyle="1" w:styleId="247">
    <w:name w:val="回信地址"/>
    <w:basedOn w:val="1"/>
    <w:qFormat/>
    <w:uiPriority w:val="0"/>
    <w:pPr>
      <w:keepLines/>
      <w:spacing w:line="200" w:lineRule="atLeast"/>
      <w:ind w:right="-120"/>
    </w:pPr>
    <w:rPr>
      <w:rFonts w:eastAsia="宋体"/>
      <w:sz w:val="16"/>
      <w:szCs w:val="16"/>
    </w:rPr>
  </w:style>
  <w:style w:type="paragraph" w:customStyle="1" w:styleId="248">
    <w:name w:val="Char Char Char Char Char"/>
    <w:basedOn w:val="1"/>
    <w:qFormat/>
    <w:uiPriority w:val="0"/>
    <w:pPr>
      <w:widowControl w:val="0"/>
      <w:jc w:val="both"/>
    </w:pPr>
    <w:rPr>
      <w:rFonts w:ascii="Tahoma" w:hAnsi="Tahoma" w:eastAsia="宋体"/>
      <w:kern w:val="2"/>
      <w:szCs w:val="20"/>
    </w:rPr>
  </w:style>
  <w:style w:type="paragraph" w:customStyle="1" w:styleId="249">
    <w:name w:val="系统表格字体"/>
    <w:basedOn w:val="229"/>
    <w:qFormat/>
    <w:uiPriority w:val="0"/>
    <w:pPr>
      <w:ind w:firstLine="0" w:firstLineChars="0"/>
      <w:jc w:val="center"/>
    </w:pPr>
    <w:rPr>
      <w:rFonts w:ascii="楷体_GB2312" w:eastAsia="楷体_GB2312"/>
      <w:sz w:val="20"/>
    </w:rPr>
  </w:style>
  <w:style w:type="paragraph" w:customStyle="1" w:styleId="250">
    <w:name w:val="xl5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sz w:val="20"/>
      <w:szCs w:val="20"/>
    </w:rPr>
  </w:style>
  <w:style w:type="paragraph" w:customStyle="1" w:styleId="251">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52">
    <w:name w:val="正文文字缩进项目"/>
    <w:basedOn w:val="21"/>
    <w:qFormat/>
    <w:uiPriority w:val="0"/>
    <w:pPr>
      <w:tabs>
        <w:tab w:val="left" w:pos="840"/>
      </w:tabs>
      <w:spacing w:line="240" w:lineRule="auto"/>
      <w:ind w:left="0" w:leftChars="0"/>
    </w:pPr>
    <w:rPr>
      <w:rFonts w:ascii="Tahoma" w:hAnsi="Tahoma"/>
      <w:sz w:val="22"/>
      <w:szCs w:val="20"/>
    </w:rPr>
  </w:style>
  <w:style w:type="paragraph" w:customStyle="1" w:styleId="253">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sz w:val="20"/>
      <w:szCs w:val="20"/>
    </w:rPr>
  </w:style>
  <w:style w:type="paragraph" w:customStyle="1" w:styleId="254">
    <w:name w:val="Char Char Char Char2"/>
    <w:basedOn w:val="1"/>
    <w:qFormat/>
    <w:uiPriority w:val="0"/>
    <w:pPr>
      <w:spacing w:after="160" w:line="240" w:lineRule="exact"/>
    </w:pPr>
    <w:rPr>
      <w:rFonts w:ascii="Verdana" w:hAnsi="Verdana" w:eastAsia="仿宋_GB2312"/>
      <w:szCs w:val="20"/>
      <w:lang w:eastAsia="en-US"/>
    </w:rPr>
  </w:style>
  <w:style w:type="paragraph" w:customStyle="1" w:styleId="255">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56">
    <w:name w:val="xl88"/>
    <w:basedOn w:val="1"/>
    <w:qFormat/>
    <w:uiPriority w:val="0"/>
    <w:pPr>
      <w:pBdr>
        <w:top w:val="single" w:color="auto" w:sz="4" w:space="0"/>
        <w:left w:val="single" w:color="auto" w:sz="4" w:space="0"/>
        <w:bottom w:val="single" w:color="auto" w:sz="8" w:space="0"/>
        <w:right w:val="single" w:color="auto" w:sz="8" w:space="0"/>
      </w:pBdr>
      <w:shd w:val="clear" w:color="auto" w:fill="FFCC99"/>
      <w:spacing w:before="100" w:beforeAutospacing="1" w:after="100" w:afterAutospacing="1"/>
      <w:jc w:val="right"/>
      <w:textAlignment w:val="bottom"/>
    </w:pPr>
    <w:rPr>
      <w:rFonts w:hint="eastAsia" w:ascii="黑体" w:hAnsi="Arial Unicode MS" w:eastAsia="黑体" w:cs="Arial Unicode MS"/>
      <w:b/>
      <w:bCs/>
    </w:rPr>
  </w:style>
  <w:style w:type="paragraph" w:customStyle="1" w:styleId="257">
    <w:name w:val="2册标题2"/>
    <w:basedOn w:val="1"/>
    <w:next w:val="1"/>
    <w:qFormat/>
    <w:uiPriority w:val="0"/>
    <w:pPr>
      <w:widowControl w:val="0"/>
      <w:spacing w:beforeLines="50" w:afterLines="50" w:line="300" w:lineRule="auto"/>
      <w:jc w:val="both"/>
      <w:outlineLvl w:val="1"/>
    </w:pPr>
    <w:rPr>
      <w:rFonts w:ascii="Arial" w:hAnsi="Arial" w:eastAsia="黑体"/>
      <w:kern w:val="2"/>
      <w:sz w:val="30"/>
      <w:szCs w:val="30"/>
    </w:rPr>
  </w:style>
  <w:style w:type="paragraph" w:customStyle="1" w:styleId="258">
    <w:name w:val="Char5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59">
    <w:name w:val="xl65"/>
    <w:basedOn w:val="1"/>
    <w:qFormat/>
    <w:uiPriority w:val="0"/>
    <w:pPr>
      <w:shd w:val="clear" w:color="000000" w:fill="FFFFFF"/>
      <w:spacing w:before="100" w:beforeAutospacing="1" w:after="100" w:afterAutospacing="1"/>
    </w:pPr>
    <w:rPr>
      <w:rFonts w:ascii="宋体" w:hAnsi="宋体" w:eastAsia="宋体" w:cs="宋体"/>
    </w:rPr>
  </w:style>
  <w:style w:type="paragraph" w:customStyle="1" w:styleId="26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rPr>
  </w:style>
  <w:style w:type="paragraph" w:customStyle="1" w:styleId="261">
    <w:name w:val="电子编码"/>
    <w:basedOn w:val="1"/>
    <w:qFormat/>
    <w:uiPriority w:val="0"/>
    <w:pPr>
      <w:widowControl w:val="0"/>
      <w:autoSpaceDE w:val="0"/>
      <w:autoSpaceDN w:val="0"/>
      <w:adjustRightInd w:val="0"/>
      <w:spacing w:before="170" w:after="170" w:line="360" w:lineRule="auto"/>
      <w:jc w:val="both"/>
    </w:pPr>
    <w:rPr>
      <w:rFonts w:ascii="幼圆" w:eastAsia="幼圆"/>
      <w:b/>
      <w:bCs/>
      <w:color w:val="000000"/>
      <w:sz w:val="22"/>
      <w:szCs w:val="20"/>
    </w:rPr>
  </w:style>
  <w:style w:type="paragraph" w:customStyle="1" w:styleId="262">
    <w:name w:val="Char Char"/>
    <w:basedOn w:val="1"/>
    <w:qFormat/>
    <w:uiPriority w:val="0"/>
    <w:pPr>
      <w:widowControl w:val="0"/>
      <w:jc w:val="both"/>
    </w:pPr>
    <w:rPr>
      <w:rFonts w:ascii="Tahoma" w:hAnsi="Tahoma" w:eastAsia="宋体"/>
      <w:kern w:val="2"/>
      <w:szCs w:val="20"/>
    </w:rPr>
  </w:style>
  <w:style w:type="paragraph" w:customStyle="1" w:styleId="263">
    <w:name w:val="p9"/>
    <w:basedOn w:val="1"/>
    <w:qFormat/>
    <w:uiPriority w:val="0"/>
    <w:pPr>
      <w:spacing w:before="100" w:beforeAutospacing="1" w:after="100" w:afterAutospacing="1"/>
    </w:pPr>
    <w:rPr>
      <w:rFonts w:eastAsia="Arial Unicode MS"/>
      <w:color w:val="000000"/>
      <w:sz w:val="18"/>
      <w:szCs w:val="18"/>
    </w:rPr>
  </w:style>
  <w:style w:type="paragraph" w:customStyle="1" w:styleId="264">
    <w:name w:val="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65">
    <w:name w:val="xl75"/>
    <w:basedOn w:val="1"/>
    <w:qFormat/>
    <w:uiPriority w:val="0"/>
    <w:pPr>
      <w:pBdr>
        <w:top w:val="single" w:color="auto" w:sz="4" w:space="0"/>
        <w:left w:val="single" w:color="auto" w:sz="4" w:space="14"/>
        <w:bottom w:val="single" w:color="auto" w:sz="4" w:space="0"/>
        <w:right w:val="single" w:color="auto" w:sz="4" w:space="0"/>
      </w:pBdr>
      <w:spacing w:before="100" w:beforeAutospacing="1" w:after="100" w:afterAutospacing="1"/>
      <w:ind w:firstLine="100" w:firstLineChars="100"/>
      <w:textAlignment w:val="center"/>
    </w:pPr>
    <w:rPr>
      <w:rFonts w:ascii="宋体" w:hAnsi="宋体" w:eastAsia="宋体" w:cs="宋体"/>
      <w:sz w:val="20"/>
      <w:szCs w:val="20"/>
    </w:rPr>
  </w:style>
  <w:style w:type="paragraph" w:customStyle="1" w:styleId="266">
    <w:name w:val="图表标题"/>
    <w:basedOn w:val="1"/>
    <w:qFormat/>
    <w:uiPriority w:val="0"/>
    <w:pPr>
      <w:widowControl w:val="0"/>
      <w:autoSpaceDE w:val="0"/>
      <w:autoSpaceDN w:val="0"/>
      <w:adjustRightInd w:val="0"/>
      <w:snapToGrid w:val="0"/>
      <w:spacing w:before="80" w:after="40" w:line="288" w:lineRule="auto"/>
      <w:jc w:val="center"/>
    </w:pPr>
    <w:rPr>
      <w:rFonts w:eastAsia="宋体"/>
      <w:spacing w:val="10"/>
      <w:szCs w:val="20"/>
    </w:rPr>
  </w:style>
  <w:style w:type="paragraph" w:customStyle="1" w:styleId="267">
    <w:name w:val="xl56"/>
    <w:basedOn w:val="1"/>
    <w:qFormat/>
    <w:uiPriority w:val="0"/>
    <w:pPr>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sz w:val="20"/>
      <w:szCs w:val="20"/>
    </w:rPr>
  </w:style>
  <w:style w:type="paragraph" w:customStyle="1" w:styleId="268">
    <w:name w:val="cucd-TB-Head"/>
    <w:basedOn w:val="1"/>
    <w:next w:val="1"/>
    <w:qFormat/>
    <w:uiPriority w:val="0"/>
    <w:pPr>
      <w:widowControl w:val="0"/>
      <w:spacing w:before="120" w:afterLines="25" w:line="288" w:lineRule="auto"/>
      <w:jc w:val="center"/>
    </w:pPr>
    <w:rPr>
      <w:rFonts w:ascii="宋体" w:hAnsi="宋体" w:eastAsia="宋体" w:cs="Arial"/>
      <w:kern w:val="2"/>
    </w:rPr>
  </w:style>
  <w:style w:type="paragraph" w:customStyle="1" w:styleId="269">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sz w:val="20"/>
      <w:szCs w:val="20"/>
    </w:rPr>
  </w:style>
  <w:style w:type="paragraph" w:customStyle="1" w:styleId="270">
    <w:name w:val="xl53"/>
    <w:basedOn w:val="1"/>
    <w:qFormat/>
    <w:uiPriority w:val="0"/>
    <w:pPr>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pPr>
    <w:rPr>
      <w:rFonts w:ascii="Arial Unicode MS" w:hAnsi="Arial Unicode MS" w:eastAsia="Arial Unicode MS" w:cs="Arial Unicode MS"/>
    </w:rPr>
  </w:style>
  <w:style w:type="paragraph" w:customStyle="1" w:styleId="271">
    <w:name w:val="规范"/>
    <w:basedOn w:val="1"/>
    <w:next w:val="1"/>
    <w:qFormat/>
    <w:uiPriority w:val="0"/>
    <w:pPr>
      <w:widowControl w:val="0"/>
      <w:tabs>
        <w:tab w:val="left" w:pos="420"/>
        <w:tab w:val="left" w:pos="720"/>
      </w:tabs>
      <w:spacing w:line="288" w:lineRule="auto"/>
      <w:ind w:left="420" w:hanging="420"/>
    </w:pPr>
    <w:rPr>
      <w:rFonts w:eastAsia="宋体"/>
      <w:kern w:val="2"/>
    </w:rPr>
  </w:style>
  <w:style w:type="paragraph" w:customStyle="1" w:styleId="272">
    <w:name w:val="È±Ê¡ÎÄ±¾"/>
    <w:basedOn w:val="1"/>
    <w:qFormat/>
    <w:uiPriority w:val="0"/>
    <w:pPr>
      <w:overflowPunct w:val="0"/>
      <w:autoSpaceDE w:val="0"/>
      <w:autoSpaceDN w:val="0"/>
      <w:adjustRightInd w:val="0"/>
      <w:textAlignment w:val="baseline"/>
    </w:pPr>
    <w:rPr>
      <w:rFonts w:eastAsia="宋体"/>
      <w:szCs w:val="20"/>
    </w:rPr>
  </w:style>
  <w:style w:type="paragraph" w:customStyle="1" w:styleId="273">
    <w:name w:val="doc-a"/>
    <w:basedOn w:val="1"/>
    <w:qFormat/>
    <w:uiPriority w:val="0"/>
    <w:pPr>
      <w:spacing w:before="100" w:beforeAutospacing="1" w:after="100" w:afterAutospacing="1"/>
      <w:ind w:firstLine="480"/>
    </w:pPr>
    <w:rPr>
      <w:rFonts w:ascii="微软雅黑" w:hAnsi="微软雅黑" w:eastAsia="微软雅黑" w:cs="宋体"/>
      <w:sz w:val="21"/>
      <w:szCs w:val="21"/>
    </w:rPr>
  </w:style>
  <w:style w:type="paragraph" w:customStyle="1" w:styleId="274">
    <w:name w:val="xl80"/>
    <w:basedOn w:val="1"/>
    <w:qFormat/>
    <w:uiPriority w:val="0"/>
    <w:pPr>
      <w:pBdr>
        <w:top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Arial" w:hAnsi="Arial" w:eastAsia="Arial Unicode MS" w:cs="Arial"/>
      <w:sz w:val="20"/>
      <w:szCs w:val="20"/>
    </w:rPr>
  </w:style>
  <w:style w:type="paragraph" w:customStyle="1" w:styleId="275">
    <w:name w:val="样式2"/>
    <w:basedOn w:val="1"/>
    <w:qFormat/>
    <w:uiPriority w:val="0"/>
    <w:pPr>
      <w:widowControl w:val="0"/>
      <w:tabs>
        <w:tab w:val="left" w:pos="1140"/>
      </w:tabs>
      <w:spacing w:before="200" w:after="200" w:line="360" w:lineRule="auto"/>
      <w:ind w:left="1140" w:hanging="720"/>
      <w:jc w:val="both"/>
    </w:pPr>
    <w:rPr>
      <w:rFonts w:eastAsia="宋体"/>
      <w:b/>
      <w:kern w:val="2"/>
      <w:sz w:val="32"/>
      <w:szCs w:val="20"/>
    </w:rPr>
  </w:style>
  <w:style w:type="paragraph" w:customStyle="1" w:styleId="276">
    <w:name w:val="二级标题"/>
    <w:qFormat/>
    <w:uiPriority w:val="0"/>
    <w:pPr>
      <w:widowControl w:val="0"/>
      <w:autoSpaceDE w:val="0"/>
      <w:autoSpaceDN w:val="0"/>
      <w:adjustRightInd w:val="0"/>
      <w:spacing w:before="113" w:after="113" w:line="420" w:lineRule="atLeast"/>
      <w:jc w:val="both"/>
    </w:pPr>
    <w:rPr>
      <w:rFonts w:ascii="文鼎CS大隶书" w:hAnsi="Times New Roman" w:eastAsia="文鼎CS大隶书" w:cs="Times New Roman"/>
      <w:sz w:val="28"/>
      <w:szCs w:val="28"/>
      <w:lang w:val="en-US" w:eastAsia="zh-CN" w:bidi="ar-SA"/>
    </w:rPr>
  </w:style>
  <w:style w:type="paragraph" w:customStyle="1" w:styleId="277">
    <w:name w:val="楷体"/>
    <w:basedOn w:val="1"/>
    <w:next w:val="1"/>
    <w:qFormat/>
    <w:uiPriority w:val="0"/>
    <w:pPr>
      <w:widowControl w:val="0"/>
      <w:autoSpaceDE w:val="0"/>
      <w:autoSpaceDN w:val="0"/>
      <w:adjustRightInd w:val="0"/>
      <w:spacing w:line="420" w:lineRule="atLeast"/>
      <w:jc w:val="both"/>
    </w:pPr>
    <w:rPr>
      <w:rFonts w:ascii="文鼎CS楷体" w:eastAsia="文鼎CS楷体"/>
      <w:spacing w:val="200"/>
      <w:sz w:val="21"/>
      <w:szCs w:val="21"/>
    </w:rPr>
  </w:style>
  <w:style w:type="paragraph" w:customStyle="1" w:styleId="278">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sz w:val="20"/>
      <w:szCs w:val="20"/>
    </w:rPr>
  </w:style>
  <w:style w:type="paragraph" w:customStyle="1" w:styleId="279">
    <w:name w:val="TOC 标题1"/>
    <w:basedOn w:val="3"/>
    <w:next w:val="1"/>
    <w:qFormat/>
    <w:uiPriority w:val="0"/>
    <w:pPr>
      <w:keepNext w:val="0"/>
      <w:keepLines w:val="0"/>
      <w:spacing w:before="480" w:after="0" w:line="276" w:lineRule="auto"/>
      <w:outlineLvl w:val="9"/>
    </w:pPr>
    <w:rPr>
      <w:rFonts w:ascii="Calibri Light" w:hAnsi="Calibri Light" w:eastAsia="宋体"/>
      <w:b w:val="0"/>
      <w:color w:val="2E74B5"/>
      <w:kern w:val="0"/>
      <w:sz w:val="32"/>
      <w:szCs w:val="28"/>
    </w:rPr>
  </w:style>
  <w:style w:type="paragraph" w:customStyle="1" w:styleId="280">
    <w:name w:val="标题5"/>
    <w:basedOn w:val="6"/>
    <w:qFormat/>
    <w:uiPriority w:val="0"/>
    <w:pPr>
      <w:spacing w:before="156" w:after="156" w:line="180" w:lineRule="atLeast"/>
    </w:pPr>
    <w:rPr>
      <w:rFonts w:ascii="Times New Roman" w:hAnsi="Times New Roman"/>
      <w:b w:val="0"/>
      <w:bCs w:val="0"/>
      <w:kern w:val="2"/>
      <w:sz w:val="24"/>
      <w:szCs w:val="20"/>
    </w:rPr>
  </w:style>
  <w:style w:type="paragraph" w:customStyle="1" w:styleId="281">
    <w:name w:val="_Style 72"/>
    <w:basedOn w:val="1"/>
    <w:qFormat/>
    <w:uiPriority w:val="99"/>
    <w:pPr>
      <w:widowControl w:val="0"/>
      <w:ind w:firstLine="420" w:firstLineChars="200"/>
      <w:jc w:val="both"/>
    </w:pPr>
    <w:rPr>
      <w:rFonts w:ascii="Calibri" w:hAnsi="Calibri" w:eastAsia="宋体"/>
      <w:kern w:val="2"/>
      <w:sz w:val="22"/>
      <w:szCs w:val="20"/>
    </w:rPr>
  </w:style>
  <w:style w:type="paragraph" w:customStyle="1" w:styleId="282">
    <w:name w:val="一级"/>
    <w:basedOn w:val="1"/>
    <w:qFormat/>
    <w:uiPriority w:val="0"/>
    <w:pPr>
      <w:widowControl w:val="0"/>
      <w:tabs>
        <w:tab w:val="left" w:pos="720"/>
      </w:tabs>
      <w:ind w:left="975" w:hanging="975"/>
      <w:jc w:val="both"/>
    </w:pPr>
    <w:rPr>
      <w:rFonts w:eastAsia="宋体"/>
      <w:b/>
      <w:kern w:val="2"/>
      <w:sz w:val="21"/>
    </w:rPr>
  </w:style>
  <w:style w:type="paragraph" w:customStyle="1" w:styleId="283">
    <w:name w:val="RFI text from 3rd Level"/>
    <w:basedOn w:val="1"/>
    <w:qFormat/>
    <w:uiPriority w:val="0"/>
    <w:pPr>
      <w:tabs>
        <w:tab w:val="left" w:pos="1080"/>
      </w:tabs>
      <w:spacing w:beforeLines="50" w:line="360" w:lineRule="auto"/>
      <w:jc w:val="both"/>
    </w:pPr>
    <w:rPr>
      <w:rFonts w:ascii="Arial (W1)" w:hAnsi="Arial (W1)" w:eastAsia="宋体"/>
      <w:bCs/>
      <w:lang w:val="en-GB"/>
    </w:rPr>
  </w:style>
  <w:style w:type="paragraph" w:customStyle="1" w:styleId="284">
    <w:name w:val="xl35"/>
    <w:basedOn w:val="1"/>
    <w:qFormat/>
    <w:uiPriority w:val="0"/>
    <w:pPr>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rPr>
  </w:style>
  <w:style w:type="paragraph" w:customStyle="1" w:styleId="285">
    <w:name w:val="xl46"/>
    <w:basedOn w:val="1"/>
    <w:qFormat/>
    <w:uiPriority w:val="0"/>
    <w:pPr>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rPr>
  </w:style>
  <w:style w:type="paragraph" w:customStyle="1" w:styleId="286">
    <w:name w:val="列出段落12"/>
    <w:basedOn w:val="1"/>
    <w:qFormat/>
    <w:uiPriority w:val="99"/>
    <w:pPr>
      <w:widowControl w:val="0"/>
      <w:ind w:firstLine="420" w:firstLineChars="200"/>
      <w:jc w:val="both"/>
    </w:pPr>
    <w:rPr>
      <w:rFonts w:ascii="Calibri" w:hAnsi="Calibri" w:eastAsia="宋体"/>
      <w:kern w:val="2"/>
      <w:sz w:val="21"/>
    </w:rPr>
  </w:style>
  <w:style w:type="paragraph" w:customStyle="1" w:styleId="287">
    <w:name w:val="正文BIAO"/>
    <w:basedOn w:val="1"/>
    <w:qFormat/>
    <w:uiPriority w:val="0"/>
    <w:pPr>
      <w:widowControl w:val="0"/>
      <w:tabs>
        <w:tab w:val="left" w:pos="360"/>
        <w:tab w:val="left" w:pos="720"/>
      </w:tabs>
      <w:spacing w:beforeLines="50" w:afterLines="50" w:line="360" w:lineRule="auto"/>
      <w:ind w:left="720" w:hanging="720"/>
      <w:jc w:val="both"/>
    </w:pPr>
    <w:rPr>
      <w:rFonts w:eastAsia="黑体"/>
      <w:kern w:val="2"/>
    </w:rPr>
  </w:style>
  <w:style w:type="paragraph" w:customStyle="1" w:styleId="288">
    <w:name w:val="_Style 11"/>
    <w:basedOn w:val="1"/>
    <w:qFormat/>
    <w:uiPriority w:val="0"/>
    <w:pPr>
      <w:spacing w:after="160" w:line="240" w:lineRule="exact"/>
    </w:pPr>
    <w:rPr>
      <w:rFonts w:ascii="Verdana" w:hAnsi="Verdana" w:eastAsia="仿宋_GB2312"/>
      <w:szCs w:val="20"/>
      <w:lang w:eastAsia="en-US"/>
    </w:rPr>
  </w:style>
  <w:style w:type="paragraph" w:customStyle="1" w:styleId="289">
    <w:name w:val="xl3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sz w:val="20"/>
      <w:szCs w:val="20"/>
    </w:rPr>
  </w:style>
  <w:style w:type="paragraph" w:customStyle="1" w:styleId="290">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291">
    <w:name w:val="Char Char Char"/>
    <w:basedOn w:val="1"/>
    <w:qFormat/>
    <w:uiPriority w:val="0"/>
    <w:pPr>
      <w:widowControl w:val="0"/>
      <w:spacing w:line="360" w:lineRule="auto"/>
      <w:ind w:firstLine="560" w:firstLineChars="200"/>
      <w:jc w:val="both"/>
    </w:pPr>
    <w:rPr>
      <w:rFonts w:ascii="Calibri" w:hAnsi="Calibri" w:eastAsia="宋体"/>
      <w:kern w:val="2"/>
      <w:sz w:val="21"/>
      <w:szCs w:val="20"/>
    </w:rPr>
  </w:style>
  <w:style w:type="paragraph" w:customStyle="1" w:styleId="292">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eastAsia="Arial Unicode MS"/>
      <w:sz w:val="20"/>
      <w:szCs w:val="20"/>
    </w:rPr>
  </w:style>
  <w:style w:type="paragraph" w:customStyle="1" w:styleId="293">
    <w:name w:val="font6"/>
    <w:basedOn w:val="1"/>
    <w:qFormat/>
    <w:uiPriority w:val="0"/>
    <w:pPr>
      <w:spacing w:before="100" w:beforeAutospacing="1" w:after="100" w:afterAutospacing="1"/>
    </w:pPr>
    <w:rPr>
      <w:rFonts w:ascii="宋体" w:hAnsi="宋体" w:eastAsia="宋体" w:cs="宋体"/>
      <w:color w:val="000000"/>
      <w:sz w:val="20"/>
      <w:szCs w:val="20"/>
    </w:rPr>
  </w:style>
  <w:style w:type="paragraph" w:customStyle="1" w:styleId="294">
    <w:name w:val="正文（首行不缩进）"/>
    <w:basedOn w:val="1"/>
    <w:qFormat/>
    <w:uiPriority w:val="0"/>
    <w:pPr>
      <w:widowControl w:val="0"/>
      <w:autoSpaceDE w:val="0"/>
      <w:autoSpaceDN w:val="0"/>
      <w:adjustRightInd w:val="0"/>
      <w:spacing w:line="360" w:lineRule="auto"/>
    </w:pPr>
    <w:rPr>
      <w:rFonts w:ascii="Calibri" w:hAnsi="Calibri" w:eastAsia="宋体"/>
      <w:sz w:val="21"/>
      <w:szCs w:val="20"/>
    </w:rPr>
  </w:style>
  <w:style w:type="paragraph" w:customStyle="1" w:styleId="295">
    <w:name w:val="font9"/>
    <w:basedOn w:val="1"/>
    <w:qFormat/>
    <w:uiPriority w:val="0"/>
    <w:pPr>
      <w:spacing w:before="100" w:beforeAutospacing="1" w:after="100" w:afterAutospacing="1"/>
    </w:pPr>
    <w:rPr>
      <w:rFonts w:hint="eastAsia" w:ascii="黑体" w:hAnsi="Arial Unicode MS" w:eastAsia="黑体" w:cs="Arial Unicode MS"/>
      <w:b/>
      <w:bCs/>
      <w:color w:val="333399"/>
    </w:rPr>
  </w:style>
  <w:style w:type="paragraph" w:customStyle="1" w:styleId="296">
    <w:name w:val="无间隔1"/>
    <w:qFormat/>
    <w:uiPriority w:val="0"/>
    <w:pPr>
      <w:widowControl w:val="0"/>
      <w:jc w:val="both"/>
    </w:pPr>
    <w:rPr>
      <w:rFonts w:ascii="Times New Roman" w:hAnsi="Times New Roman" w:eastAsia="宋体" w:cs="Times New Roman"/>
      <w:kern w:val="2"/>
      <w:sz w:val="22"/>
      <w:szCs w:val="22"/>
      <w:lang w:val="en-US" w:eastAsia="zh-CN" w:bidi="ar-SA"/>
    </w:rPr>
  </w:style>
  <w:style w:type="paragraph" w:customStyle="1" w:styleId="297">
    <w:name w:val="xl62"/>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bottom"/>
    </w:pPr>
    <w:rPr>
      <w:rFonts w:eastAsia="Arial Unicode MS"/>
      <w:b/>
      <w:bCs/>
      <w:color w:val="333399"/>
    </w:rPr>
  </w:style>
  <w:style w:type="paragraph" w:customStyle="1" w:styleId="29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宋体" w:hAnsi="宋体" w:eastAsia="宋体" w:cs="宋体"/>
      <w:sz w:val="20"/>
      <w:szCs w:val="20"/>
    </w:rPr>
  </w:style>
  <w:style w:type="paragraph" w:customStyle="1" w:styleId="299">
    <w:name w:val="列出段落11"/>
    <w:basedOn w:val="1"/>
    <w:qFormat/>
    <w:uiPriority w:val="0"/>
    <w:pPr>
      <w:widowControl w:val="0"/>
      <w:spacing w:afterLines="25" w:line="300" w:lineRule="auto"/>
      <w:ind w:firstLine="420" w:firstLineChars="200"/>
      <w:jc w:val="both"/>
    </w:pPr>
    <w:rPr>
      <w:rFonts w:ascii="Arial" w:hAnsi="Arial" w:eastAsia="宋体"/>
      <w:kern w:val="2"/>
      <w:sz w:val="21"/>
    </w:rPr>
  </w:style>
  <w:style w:type="paragraph" w:customStyle="1" w:styleId="300">
    <w:name w:val="TOC 标题1_0"/>
    <w:basedOn w:val="3"/>
    <w:next w:val="1"/>
    <w:qFormat/>
    <w:uiPriority w:val="0"/>
    <w:pPr>
      <w:spacing w:before="480" w:afterLines="25" w:line="276" w:lineRule="auto"/>
      <w:outlineLvl w:val="9"/>
    </w:pPr>
    <w:rPr>
      <w:rFonts w:ascii="Cambria" w:hAnsi="Cambria" w:eastAsia="宋体"/>
      <w:color w:val="365F91"/>
      <w:kern w:val="0"/>
      <w:sz w:val="28"/>
      <w:szCs w:val="28"/>
      <w:lang w:eastAsia="en-US"/>
    </w:rPr>
  </w:style>
  <w:style w:type="paragraph" w:customStyle="1" w:styleId="301">
    <w:name w:val="Char1"/>
    <w:basedOn w:val="1"/>
    <w:qFormat/>
    <w:uiPriority w:val="0"/>
    <w:pPr>
      <w:spacing w:after="160" w:line="240" w:lineRule="exact"/>
    </w:pPr>
    <w:rPr>
      <w:rFonts w:ascii="Verdana" w:hAnsi="Verdana" w:eastAsia="仿宋_GB2312"/>
      <w:szCs w:val="20"/>
      <w:lang w:eastAsia="en-US"/>
    </w:rPr>
  </w:style>
  <w:style w:type="paragraph" w:customStyle="1" w:styleId="302">
    <w:name w:val="2册标题1"/>
    <w:basedOn w:val="1"/>
    <w:next w:val="1"/>
    <w:qFormat/>
    <w:uiPriority w:val="0"/>
    <w:pPr>
      <w:widowControl w:val="0"/>
      <w:spacing w:beforeLines="50" w:afterLines="50" w:line="300" w:lineRule="auto"/>
      <w:jc w:val="center"/>
      <w:outlineLvl w:val="0"/>
    </w:pPr>
    <w:rPr>
      <w:rFonts w:ascii="Arial" w:hAnsi="Arial" w:eastAsia="黑体"/>
      <w:kern w:val="2"/>
      <w:sz w:val="32"/>
      <w:szCs w:val="32"/>
    </w:rPr>
  </w:style>
  <w:style w:type="paragraph" w:customStyle="1" w:styleId="303">
    <w:name w:val="案例一级标题"/>
    <w:qFormat/>
    <w:uiPriority w:val="0"/>
    <w:pPr>
      <w:widowControl w:val="0"/>
      <w:autoSpaceDE w:val="0"/>
      <w:autoSpaceDN w:val="0"/>
      <w:adjustRightInd w:val="0"/>
      <w:spacing w:line="400" w:lineRule="atLeast"/>
      <w:ind w:firstLine="425"/>
      <w:jc w:val="both"/>
    </w:pPr>
    <w:rPr>
      <w:rFonts w:ascii="文鼎CS中黑" w:hAnsi="Times New Roman" w:eastAsia="文鼎CS中黑" w:cs="Times New Roman"/>
      <w:szCs w:val="24"/>
      <w:lang w:val="en-US" w:eastAsia="zh-CN" w:bidi="ar-SA"/>
    </w:rPr>
  </w:style>
  <w:style w:type="paragraph" w:customStyle="1" w:styleId="30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Char Char11"/>
    <w:basedOn w:val="1"/>
    <w:qFormat/>
    <w:uiPriority w:val="0"/>
    <w:pPr>
      <w:widowControl w:val="0"/>
      <w:jc w:val="both"/>
    </w:pPr>
    <w:rPr>
      <w:rFonts w:ascii="Tahoma" w:hAnsi="Tahoma" w:eastAsia="宋体"/>
      <w:b/>
      <w:sz w:val="28"/>
      <w:szCs w:val="20"/>
    </w:rPr>
  </w:style>
  <w:style w:type="paragraph" w:customStyle="1" w:styleId="30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w:hAnsi="Arial" w:eastAsia="Arial Unicode MS" w:cs="Arial"/>
      <w:sz w:val="20"/>
      <w:szCs w:val="20"/>
    </w:rPr>
  </w:style>
  <w:style w:type="paragraph" w:customStyle="1" w:styleId="307">
    <w:name w:val="编号1"/>
    <w:basedOn w:val="1"/>
    <w:qFormat/>
    <w:uiPriority w:val="0"/>
    <w:pPr>
      <w:widowControl w:val="0"/>
      <w:tabs>
        <w:tab w:val="left" w:pos="425"/>
        <w:tab w:val="left" w:pos="720"/>
      </w:tabs>
      <w:adjustRightInd w:val="0"/>
      <w:spacing w:line="300" w:lineRule="auto"/>
      <w:ind w:left="720" w:right="210" w:hanging="720"/>
      <w:jc w:val="both"/>
      <w:textAlignment w:val="center"/>
    </w:pPr>
    <w:rPr>
      <w:rFonts w:ascii="宋体" w:hAnsi="宋体" w:eastAsia="宋体"/>
      <w:snapToGrid w:val="0"/>
      <w:spacing w:val="10"/>
      <w:kern w:val="24"/>
      <w:sz w:val="21"/>
      <w:szCs w:val="20"/>
    </w:rPr>
  </w:style>
  <w:style w:type="paragraph" w:customStyle="1" w:styleId="308">
    <w:name w:val="正文序号 1"/>
    <w:basedOn w:val="1"/>
    <w:qFormat/>
    <w:uiPriority w:val="0"/>
    <w:pPr>
      <w:widowControl w:val="0"/>
      <w:tabs>
        <w:tab w:val="left" w:pos="839"/>
        <w:tab w:val="left" w:pos="1045"/>
      </w:tabs>
      <w:spacing w:before="60"/>
      <w:ind w:left="1045" w:hanging="195"/>
      <w:jc w:val="both"/>
    </w:pPr>
    <w:rPr>
      <w:rFonts w:eastAsia="宋体"/>
      <w:kern w:val="2"/>
      <w:sz w:val="21"/>
    </w:rPr>
  </w:style>
  <w:style w:type="paragraph" w:customStyle="1" w:styleId="30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0"/>
      <w:szCs w:val="20"/>
    </w:rPr>
  </w:style>
  <w:style w:type="paragraph" w:customStyle="1" w:styleId="310">
    <w:name w:val="Char Char Char Char Char Char Char Char Char Char1"/>
    <w:basedOn w:val="1"/>
    <w:qFormat/>
    <w:uiPriority w:val="0"/>
    <w:pPr>
      <w:spacing w:after="160" w:line="240" w:lineRule="exact"/>
    </w:pPr>
    <w:rPr>
      <w:rFonts w:ascii="Verdana" w:hAnsi="Verdana" w:eastAsia="仿宋_GB2312"/>
      <w:szCs w:val="20"/>
      <w:lang w:eastAsia="en-US"/>
    </w:rPr>
  </w:style>
  <w:style w:type="paragraph" w:customStyle="1" w:styleId="311">
    <w:name w:val="样式3"/>
    <w:basedOn w:val="1"/>
    <w:qFormat/>
    <w:uiPriority w:val="0"/>
    <w:pPr>
      <w:widowControl w:val="0"/>
      <w:tabs>
        <w:tab w:val="left" w:pos="360"/>
        <w:tab w:val="left" w:pos="1080"/>
      </w:tabs>
      <w:spacing w:before="160" w:after="160" w:line="360" w:lineRule="auto"/>
      <w:ind w:left="360" w:hanging="360"/>
      <w:jc w:val="both"/>
    </w:pPr>
    <w:rPr>
      <w:rFonts w:eastAsia="宋体"/>
      <w:b/>
      <w:kern w:val="2"/>
      <w:sz w:val="30"/>
      <w:szCs w:val="20"/>
    </w:rPr>
  </w:style>
  <w:style w:type="paragraph" w:customStyle="1" w:styleId="312">
    <w:name w:val="大标题"/>
    <w:qFormat/>
    <w:uiPriority w:val="0"/>
    <w:pPr>
      <w:widowControl w:val="0"/>
      <w:autoSpaceDE w:val="0"/>
      <w:autoSpaceDN w:val="0"/>
      <w:adjustRightInd w:val="0"/>
      <w:jc w:val="center"/>
    </w:pPr>
    <w:rPr>
      <w:rFonts w:ascii="文鼎CS中黑" w:hAnsi="Times New Roman" w:eastAsia="文鼎CS中黑" w:cs="Times New Roman"/>
      <w:sz w:val="36"/>
      <w:szCs w:val="36"/>
      <w:lang w:val="en-US" w:eastAsia="zh-CN" w:bidi="ar-SA"/>
    </w:rPr>
  </w:style>
  <w:style w:type="paragraph" w:customStyle="1" w:styleId="313">
    <w:name w:val="xl84"/>
    <w:basedOn w:val="1"/>
    <w:qFormat/>
    <w:uiPriority w:val="0"/>
    <w:pPr>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textAlignment w:val="bottom"/>
    </w:pPr>
    <w:rPr>
      <w:rFonts w:hint="eastAsia" w:ascii="黑体" w:hAnsi="Arial Unicode MS" w:eastAsia="黑体" w:cs="Arial Unicode MS"/>
      <w:sz w:val="28"/>
      <w:szCs w:val="28"/>
    </w:rPr>
  </w:style>
  <w:style w:type="paragraph" w:customStyle="1" w:styleId="314">
    <w:name w:val="小标题"/>
    <w:basedOn w:val="1"/>
    <w:qFormat/>
    <w:uiPriority w:val="0"/>
    <w:pPr>
      <w:widowControl w:val="0"/>
      <w:tabs>
        <w:tab w:val="left" w:pos="720"/>
      </w:tabs>
      <w:spacing w:before="120" w:after="120"/>
      <w:ind w:left="720" w:firstLine="454"/>
      <w:jc w:val="both"/>
    </w:pPr>
    <w:rPr>
      <w:rFonts w:eastAsia="宋体"/>
      <w:b/>
      <w:kern w:val="2"/>
      <w:szCs w:val="20"/>
    </w:rPr>
  </w:style>
  <w:style w:type="paragraph" w:customStyle="1" w:styleId="315">
    <w:name w:val="彩色列表1"/>
    <w:basedOn w:val="1"/>
    <w:qFormat/>
    <w:uiPriority w:val="0"/>
    <w:pPr>
      <w:widowControl w:val="0"/>
      <w:ind w:left="720"/>
      <w:contextualSpacing/>
      <w:jc w:val="both"/>
    </w:pPr>
    <w:rPr>
      <w:rFonts w:eastAsia="宋体"/>
      <w:kern w:val="2"/>
      <w:sz w:val="21"/>
    </w:rPr>
  </w:style>
  <w:style w:type="paragraph" w:customStyle="1" w:styleId="316">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317">
    <w:name w:val="Char5 Char Char Char Char Char Char2"/>
    <w:basedOn w:val="1"/>
    <w:qFormat/>
    <w:uiPriority w:val="0"/>
    <w:pPr>
      <w:spacing w:after="160" w:line="240" w:lineRule="exact"/>
    </w:pPr>
    <w:rPr>
      <w:rFonts w:ascii="Verdana" w:hAnsi="Verdana" w:eastAsia="仿宋_GB2312"/>
      <w:szCs w:val="20"/>
      <w:lang w:eastAsia="en-US"/>
    </w:rPr>
  </w:style>
  <w:style w:type="paragraph" w:styleId="318">
    <w:name w:val="No Spacing"/>
    <w:qFormat/>
    <w:uiPriority w:val="0"/>
    <w:rPr>
      <w:rFonts w:ascii="Times New Roman" w:hAnsi="Times New Roman" w:eastAsia="宋体" w:cs="Times New Roman"/>
      <w:sz w:val="22"/>
      <w:szCs w:val="22"/>
      <w:lang w:val="en-US" w:eastAsia="en-US" w:bidi="ar-SA"/>
    </w:rPr>
  </w:style>
  <w:style w:type="paragraph" w:customStyle="1" w:styleId="319">
    <w:name w:val="_Style 20"/>
    <w:basedOn w:val="1"/>
    <w:qFormat/>
    <w:uiPriority w:val="0"/>
    <w:pPr>
      <w:spacing w:after="160" w:line="240" w:lineRule="exact"/>
    </w:pPr>
    <w:rPr>
      <w:rFonts w:ascii="Verdana" w:hAnsi="Verdana" w:eastAsia="仿宋_GB2312"/>
      <w:szCs w:val="20"/>
      <w:lang w:eastAsia="en-US"/>
    </w:rPr>
  </w:style>
  <w:style w:type="paragraph" w:customStyle="1" w:styleId="320">
    <w:name w:val="普通(网站)1"/>
    <w:basedOn w:val="1"/>
    <w:qFormat/>
    <w:uiPriority w:val="0"/>
    <w:pPr>
      <w:spacing w:before="100" w:beforeAutospacing="1" w:after="100" w:afterAutospacing="1"/>
    </w:pPr>
    <w:rPr>
      <w:rFonts w:ascii="宋体" w:hAnsi="宋体" w:eastAsia="宋体" w:cs="宋体"/>
    </w:rPr>
  </w:style>
  <w:style w:type="paragraph" w:customStyle="1" w:styleId="321">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Arial" w:hAnsi="Arial" w:eastAsia="Arial Unicode MS" w:cs="Arial"/>
      <w:sz w:val="20"/>
      <w:szCs w:val="20"/>
    </w:rPr>
  </w:style>
  <w:style w:type="paragraph" w:customStyle="1" w:styleId="322">
    <w:name w:val="大大标题"/>
    <w:basedOn w:val="1"/>
    <w:qFormat/>
    <w:uiPriority w:val="0"/>
    <w:pPr>
      <w:widowControl w:val="0"/>
      <w:autoSpaceDE w:val="0"/>
      <w:autoSpaceDN w:val="0"/>
      <w:adjustRightInd w:val="0"/>
      <w:jc w:val="center"/>
    </w:pPr>
    <w:rPr>
      <w:rFonts w:ascii="黑体" w:eastAsia="黑体"/>
      <w:sz w:val="32"/>
      <w:szCs w:val="36"/>
    </w:rPr>
  </w:style>
  <w:style w:type="paragraph" w:customStyle="1" w:styleId="323">
    <w:name w:val="Char Char Char Char1"/>
    <w:basedOn w:val="1"/>
    <w:qFormat/>
    <w:uiPriority w:val="0"/>
    <w:pPr>
      <w:spacing w:afterLines="25" w:line="240" w:lineRule="exact"/>
    </w:pPr>
    <w:rPr>
      <w:rFonts w:ascii="Verdana" w:hAnsi="Verdana" w:eastAsia="仿宋_GB2312"/>
      <w:szCs w:val="20"/>
      <w:lang w:eastAsia="en-US"/>
    </w:rPr>
  </w:style>
  <w:style w:type="paragraph" w:customStyle="1" w:styleId="324">
    <w:name w:val="xl5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Unicode MS" w:hAnsi="Arial Unicode MS" w:eastAsia="Arial Unicode MS" w:cs="Arial Unicode MS"/>
    </w:rPr>
  </w:style>
  <w:style w:type="paragraph" w:customStyle="1" w:styleId="325">
    <w:name w:val="样式1 Char Char"/>
    <w:basedOn w:val="1"/>
    <w:next w:val="2"/>
    <w:qFormat/>
    <w:uiPriority w:val="0"/>
    <w:pPr>
      <w:widowControl w:val="0"/>
      <w:spacing w:line="360" w:lineRule="auto"/>
      <w:ind w:firstLine="516" w:firstLineChars="215"/>
      <w:jc w:val="both"/>
    </w:pPr>
    <w:rPr>
      <w:rFonts w:eastAsia="宋体"/>
      <w:kern w:val="2"/>
      <w:szCs w:val="20"/>
    </w:rPr>
  </w:style>
  <w:style w:type="paragraph" w:customStyle="1" w:styleId="326">
    <w:name w:val="样式 宋体 小四 行距: 1.5 倍行距"/>
    <w:basedOn w:val="6"/>
    <w:qFormat/>
    <w:uiPriority w:val="0"/>
    <w:pPr>
      <w:spacing w:afterLines="25" w:line="360" w:lineRule="auto"/>
    </w:pPr>
    <w:rPr>
      <w:rFonts w:ascii="宋体" w:hAnsi="宋体"/>
      <w:b w:val="0"/>
      <w:kern w:val="2"/>
      <w:sz w:val="24"/>
      <w:szCs w:val="20"/>
    </w:rPr>
  </w:style>
  <w:style w:type="paragraph" w:customStyle="1" w:styleId="327">
    <w:name w:val="小标题 2"/>
    <w:basedOn w:val="220"/>
    <w:qFormat/>
    <w:uiPriority w:val="0"/>
    <w:pPr>
      <w:spacing w:before="57" w:after="57" w:line="400" w:lineRule="atLeast"/>
      <w:ind w:firstLine="539"/>
      <w:jc w:val="left"/>
    </w:pPr>
    <w:rPr>
      <w:rFonts w:ascii="文鼎CS中宋" w:eastAsia="文鼎CS中宋"/>
      <w:sz w:val="20"/>
      <w:szCs w:val="24"/>
    </w:rPr>
  </w:style>
  <w:style w:type="paragraph" w:customStyle="1" w:styleId="328">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Arial Unicode MS" w:hAnsi="Arial Unicode MS" w:eastAsia="Arial Unicode MS" w:cs="Arial Unicode MS"/>
      <w:sz w:val="20"/>
      <w:szCs w:val="20"/>
    </w:rPr>
  </w:style>
  <w:style w:type="paragraph" w:customStyle="1" w:styleId="329">
    <w:name w:val="op_mapdots_left"/>
    <w:basedOn w:val="1"/>
    <w:qFormat/>
    <w:uiPriority w:val="0"/>
    <w:pPr>
      <w:widowControl w:val="0"/>
    </w:pPr>
    <w:rPr>
      <w:rFonts w:ascii="Calibri" w:hAnsi="Calibri" w:eastAsia="宋体"/>
      <w:sz w:val="21"/>
    </w:rPr>
  </w:style>
  <w:style w:type="paragraph" w:customStyle="1" w:styleId="330">
    <w:name w:val="Char Char Char Char Char Char Char"/>
    <w:basedOn w:val="1"/>
    <w:qFormat/>
    <w:uiPriority w:val="0"/>
    <w:pPr>
      <w:spacing w:after="160" w:line="240" w:lineRule="exact"/>
    </w:pPr>
    <w:rPr>
      <w:rFonts w:eastAsia="宋体"/>
      <w:kern w:val="2"/>
      <w:sz w:val="21"/>
    </w:rPr>
  </w:style>
  <w:style w:type="paragraph" w:customStyle="1" w:styleId="331">
    <w:name w:val="font8"/>
    <w:basedOn w:val="1"/>
    <w:qFormat/>
    <w:uiPriority w:val="0"/>
    <w:pPr>
      <w:spacing w:before="100" w:beforeAutospacing="1" w:after="100" w:afterAutospacing="1"/>
    </w:pPr>
    <w:rPr>
      <w:rFonts w:ascii="宋体" w:hAnsi="宋体" w:eastAsia="宋体" w:cs="宋体"/>
      <w:b/>
      <w:bCs/>
      <w:color w:val="000000"/>
      <w:sz w:val="20"/>
      <w:szCs w:val="20"/>
    </w:rPr>
  </w:style>
  <w:style w:type="paragraph" w:customStyle="1" w:styleId="332">
    <w:name w:val="案例标题"/>
    <w:qFormat/>
    <w:uiPriority w:val="0"/>
    <w:pPr>
      <w:widowControl w:val="0"/>
      <w:autoSpaceDE w:val="0"/>
      <w:autoSpaceDN w:val="0"/>
      <w:adjustRightInd w:val="0"/>
      <w:spacing w:before="57" w:after="57" w:line="400" w:lineRule="atLeast"/>
      <w:jc w:val="center"/>
    </w:pPr>
    <w:rPr>
      <w:rFonts w:ascii="文鼎CS中宋" w:hAnsi="Times New Roman" w:eastAsia="文鼎CS中宋" w:cs="Times New Roman"/>
      <w:szCs w:val="24"/>
      <w:lang w:val="en-US" w:eastAsia="zh-CN" w:bidi="ar-SA"/>
    </w:rPr>
  </w:style>
  <w:style w:type="paragraph" w:customStyle="1" w:styleId="333">
    <w:name w:val="List Bulleted Item 2"/>
    <w:basedOn w:val="1"/>
    <w:qFormat/>
    <w:uiPriority w:val="0"/>
    <w:pPr>
      <w:tabs>
        <w:tab w:val="left" w:pos="720"/>
        <w:tab w:val="left" w:pos="1410"/>
      </w:tabs>
      <w:spacing w:before="40" w:after="80" w:line="240" w:lineRule="exact"/>
      <w:ind w:left="1410" w:hanging="975"/>
    </w:pPr>
    <w:rPr>
      <w:rFonts w:ascii="Arial" w:hAnsi="Arial" w:eastAsia="宋体"/>
      <w:sz w:val="20"/>
      <w:szCs w:val="20"/>
      <w:lang w:eastAsia="en-US"/>
    </w:rPr>
  </w:style>
  <w:style w:type="paragraph" w:customStyle="1" w:styleId="334">
    <w:name w:val="xl55"/>
    <w:basedOn w:val="1"/>
    <w:qFormat/>
    <w:uiPriority w:val="0"/>
    <w:pPr>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pPr>
    <w:rPr>
      <w:rFonts w:ascii="Arial Unicode MS" w:hAnsi="Arial Unicode MS" w:eastAsia="Arial Unicode MS" w:cs="Arial Unicode MS"/>
    </w:rPr>
  </w:style>
  <w:style w:type="paragraph" w:customStyle="1" w:styleId="335">
    <w:name w:val="msonormal"/>
    <w:basedOn w:val="1"/>
    <w:qFormat/>
    <w:uiPriority w:val="0"/>
    <w:pPr>
      <w:spacing w:before="100" w:beforeAutospacing="1" w:after="100" w:afterAutospacing="1"/>
    </w:pPr>
    <w:rPr>
      <w:rFonts w:ascii="宋体" w:hAnsi="宋体" w:eastAsia="宋体" w:cs="宋体"/>
    </w:rPr>
  </w:style>
  <w:style w:type="paragraph" w:customStyle="1" w:styleId="336">
    <w:name w:val="cucd-3"/>
    <w:next w:val="1"/>
    <w:qFormat/>
    <w:uiPriority w:val="0"/>
    <w:pPr>
      <w:tabs>
        <w:tab w:val="left" w:pos="0"/>
      </w:tabs>
      <w:spacing w:line="360" w:lineRule="auto"/>
      <w:outlineLvl w:val="2"/>
    </w:pPr>
    <w:rPr>
      <w:rFonts w:ascii="宋体" w:hAnsi="宋体" w:eastAsia="宋体" w:cs="Times New Roman"/>
      <w:color w:val="000000"/>
      <w:kern w:val="2"/>
      <w:sz w:val="21"/>
      <w:szCs w:val="21"/>
      <w:lang w:val="en-US" w:eastAsia="zh-CN" w:bidi="ar-SA"/>
    </w:rPr>
  </w:style>
  <w:style w:type="paragraph" w:customStyle="1" w:styleId="337">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338">
    <w:name w:val="xl8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color w:val="000080"/>
    </w:rPr>
  </w:style>
  <w:style w:type="paragraph" w:customStyle="1" w:styleId="339">
    <w:name w:val="正文（不缩进）"/>
    <w:basedOn w:val="1"/>
    <w:qFormat/>
    <w:uiPriority w:val="0"/>
    <w:pPr>
      <w:widowControl w:val="0"/>
      <w:tabs>
        <w:tab w:val="left" w:pos="420"/>
      </w:tabs>
      <w:spacing w:line="360" w:lineRule="auto"/>
      <w:jc w:val="both"/>
    </w:pPr>
    <w:rPr>
      <w:rFonts w:eastAsia="宋体"/>
      <w:kern w:val="2"/>
      <w:szCs w:val="20"/>
    </w:rPr>
  </w:style>
  <w:style w:type="paragraph" w:customStyle="1" w:styleId="340">
    <w:name w:val="小标题3"/>
    <w:basedOn w:val="1"/>
    <w:qFormat/>
    <w:uiPriority w:val="0"/>
    <w:pPr>
      <w:widowControl w:val="0"/>
      <w:autoSpaceDE w:val="0"/>
      <w:autoSpaceDN w:val="0"/>
      <w:adjustRightInd w:val="0"/>
      <w:spacing w:line="400" w:lineRule="atLeast"/>
      <w:ind w:firstLine="510"/>
      <w:jc w:val="both"/>
    </w:pPr>
    <w:rPr>
      <w:rFonts w:ascii="文鼎CS楷体" w:eastAsia="文鼎CS楷体"/>
      <w:sz w:val="22"/>
      <w:szCs w:val="22"/>
    </w:rPr>
  </w:style>
  <w:style w:type="paragraph" w:customStyle="1" w:styleId="341">
    <w:name w:val="_Style 1"/>
    <w:basedOn w:val="1"/>
    <w:qFormat/>
    <w:uiPriority w:val="34"/>
    <w:pPr>
      <w:widowControl w:val="0"/>
      <w:ind w:firstLine="420" w:firstLineChars="200"/>
      <w:jc w:val="both"/>
    </w:pPr>
    <w:rPr>
      <w:rFonts w:ascii="Calibri" w:hAnsi="Calibri" w:eastAsia="宋体"/>
      <w:kern w:val="2"/>
      <w:sz w:val="21"/>
    </w:rPr>
  </w:style>
  <w:style w:type="paragraph" w:customStyle="1" w:styleId="34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宋体" w:hAnsi="宋体" w:eastAsia="宋体" w:cs="宋体"/>
      <w:b/>
      <w:bCs/>
      <w:sz w:val="20"/>
      <w:szCs w:val="20"/>
      <w:u w:val="single"/>
    </w:rPr>
  </w:style>
  <w:style w:type="paragraph" w:customStyle="1" w:styleId="343">
    <w:name w:val="font10"/>
    <w:basedOn w:val="1"/>
    <w:qFormat/>
    <w:uiPriority w:val="0"/>
    <w:pPr>
      <w:spacing w:before="100" w:beforeAutospacing="1" w:after="100" w:afterAutospacing="1"/>
    </w:pPr>
    <w:rPr>
      <w:rFonts w:eastAsia="Arial Unicode MS"/>
      <w:sz w:val="20"/>
      <w:szCs w:val="20"/>
    </w:rPr>
  </w:style>
  <w:style w:type="paragraph" w:customStyle="1" w:styleId="344">
    <w:name w:val="xl8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top"/>
    </w:pPr>
    <w:rPr>
      <w:rFonts w:ascii="Arial Unicode MS" w:hAnsi="Arial Unicode MS" w:eastAsia="Arial Unicode MS" w:cs="Arial Unicode MS"/>
      <w:sz w:val="20"/>
      <w:szCs w:val="20"/>
    </w:rPr>
  </w:style>
  <w:style w:type="paragraph" w:customStyle="1" w:styleId="345">
    <w:name w:val="小标题1"/>
    <w:basedOn w:val="312"/>
    <w:qFormat/>
    <w:uiPriority w:val="0"/>
    <w:pPr>
      <w:ind w:left="556" w:hanging="556"/>
      <w:jc w:val="both"/>
    </w:pPr>
    <w:rPr>
      <w:rFonts w:ascii="文鼎CS楷体" w:eastAsia="文鼎CS楷体"/>
      <w:sz w:val="26"/>
      <w:szCs w:val="26"/>
    </w:rPr>
  </w:style>
  <w:style w:type="paragraph" w:customStyle="1" w:styleId="346">
    <w:name w:val="xl49"/>
    <w:basedOn w:val="1"/>
    <w:qFormat/>
    <w:uiPriority w:val="0"/>
    <w:pPr>
      <w:pBdr>
        <w:top w:val="single" w:color="auto" w:sz="4"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rPr>
  </w:style>
  <w:style w:type="paragraph" w:customStyle="1" w:styleId="347">
    <w:name w:val="1册标题3"/>
    <w:basedOn w:val="1"/>
    <w:next w:val="1"/>
    <w:qFormat/>
    <w:uiPriority w:val="0"/>
    <w:pPr>
      <w:keepNext/>
      <w:keepLines/>
      <w:widowControl w:val="0"/>
      <w:adjustRightInd w:val="0"/>
      <w:spacing w:beforeLines="50" w:afterLines="50" w:line="300" w:lineRule="auto"/>
      <w:jc w:val="both"/>
      <w:textAlignment w:val="baseline"/>
      <w:outlineLvl w:val="2"/>
    </w:pPr>
    <w:rPr>
      <w:rFonts w:ascii="Arial" w:hAnsi="Arial" w:eastAsia="黑体"/>
      <w:sz w:val="30"/>
      <w:szCs w:val="20"/>
    </w:rPr>
  </w:style>
  <w:style w:type="paragraph" w:customStyle="1" w:styleId="348">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宋体" w:hAnsi="宋体" w:eastAsia="宋体" w:cs="宋体"/>
      <w:sz w:val="20"/>
      <w:szCs w:val="20"/>
    </w:rPr>
  </w:style>
  <w:style w:type="paragraph" w:customStyle="1" w:styleId="349">
    <w:name w:val="xl82"/>
    <w:basedOn w:val="1"/>
    <w:qFormat/>
    <w:uiPriority w:val="0"/>
    <w:pPr>
      <w:pBdr>
        <w:top w:val="single" w:color="auto" w:sz="4" w:space="0"/>
        <w:left w:val="single" w:color="auto" w:sz="8" w:space="0"/>
        <w:bottom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sz w:val="20"/>
      <w:szCs w:val="20"/>
    </w:rPr>
  </w:style>
  <w:style w:type="paragraph" w:customStyle="1" w:styleId="350">
    <w:name w:val="列出段落2"/>
    <w:basedOn w:val="1"/>
    <w:qFormat/>
    <w:uiPriority w:val="0"/>
    <w:pPr>
      <w:widowControl w:val="0"/>
      <w:spacing w:afterLines="25" w:line="300" w:lineRule="auto"/>
      <w:ind w:firstLine="200"/>
      <w:jc w:val="both"/>
    </w:pPr>
    <w:rPr>
      <w:rFonts w:ascii="Arial" w:hAnsi="Arial" w:eastAsia="宋体"/>
      <w:kern w:val="2"/>
      <w:sz w:val="21"/>
    </w:rPr>
  </w:style>
  <w:style w:type="paragraph" w:customStyle="1" w:styleId="351">
    <w:name w:val="a"/>
    <w:basedOn w:val="1"/>
    <w:qFormat/>
    <w:uiPriority w:val="0"/>
    <w:pPr>
      <w:spacing w:before="100" w:beforeAutospacing="1" w:afterAutospacing="1"/>
    </w:pPr>
    <w:rPr>
      <w:rFonts w:ascii="宋体" w:hAnsi="宋体" w:eastAsia="宋体" w:cs="宋体"/>
    </w:rPr>
  </w:style>
  <w:style w:type="paragraph" w:customStyle="1" w:styleId="352">
    <w:name w:val="样式8"/>
    <w:basedOn w:val="1"/>
    <w:qFormat/>
    <w:uiPriority w:val="0"/>
    <w:pPr>
      <w:widowControl w:val="0"/>
      <w:spacing w:line="470" w:lineRule="exact"/>
      <w:ind w:firstLine="480" w:firstLineChars="200"/>
      <w:jc w:val="both"/>
    </w:pPr>
    <w:rPr>
      <w:rFonts w:ascii="宋体" w:hAnsi="宋体" w:eastAsia="宋体"/>
      <w:bCs/>
      <w:kern w:val="2"/>
    </w:rPr>
  </w:style>
  <w:style w:type="paragraph" w:customStyle="1" w:styleId="353">
    <w:name w:val="样式6"/>
    <w:basedOn w:val="1"/>
    <w:qFormat/>
    <w:uiPriority w:val="0"/>
    <w:pPr>
      <w:widowControl w:val="0"/>
      <w:tabs>
        <w:tab w:val="left" w:pos="360"/>
        <w:tab w:val="left" w:pos="1077"/>
        <w:tab w:val="left" w:pos="1470"/>
      </w:tabs>
      <w:spacing w:line="360" w:lineRule="auto"/>
      <w:ind w:left="1077" w:hanging="397"/>
      <w:jc w:val="both"/>
    </w:pPr>
    <w:rPr>
      <w:rFonts w:eastAsia="宋体"/>
      <w:kern w:val="2"/>
      <w:szCs w:val="20"/>
    </w:rPr>
  </w:style>
  <w:style w:type="paragraph" w:customStyle="1" w:styleId="354">
    <w:name w:val="xl66"/>
    <w:basedOn w:val="1"/>
    <w:qFormat/>
    <w:uiPriority w:val="0"/>
    <w:pPr>
      <w:shd w:val="clear" w:color="000000" w:fill="FFFFFF"/>
      <w:spacing w:before="100" w:beforeAutospacing="1" w:after="100" w:afterAutospacing="1"/>
      <w:jc w:val="center"/>
    </w:pPr>
    <w:rPr>
      <w:rFonts w:ascii="宋体" w:hAnsi="宋体" w:eastAsia="宋体" w:cs="宋体"/>
    </w:rPr>
  </w:style>
  <w:style w:type="paragraph" w:customStyle="1" w:styleId="355">
    <w:name w:val="1册标题2"/>
    <w:basedOn w:val="1"/>
    <w:next w:val="1"/>
    <w:qFormat/>
    <w:uiPriority w:val="0"/>
    <w:pPr>
      <w:widowControl w:val="0"/>
      <w:adjustRightInd w:val="0"/>
      <w:spacing w:beforeLines="50" w:afterLines="50" w:line="300" w:lineRule="auto"/>
      <w:jc w:val="center"/>
      <w:textAlignment w:val="baseline"/>
      <w:outlineLvl w:val="1"/>
    </w:pPr>
    <w:rPr>
      <w:rFonts w:ascii="Arial" w:hAnsi="Arial" w:eastAsia="黑体"/>
      <w:bCs/>
      <w:sz w:val="32"/>
    </w:rPr>
  </w:style>
  <w:style w:type="paragraph" w:customStyle="1" w:styleId="356">
    <w:name w:val="Char2"/>
    <w:basedOn w:val="1"/>
    <w:qFormat/>
    <w:uiPriority w:val="0"/>
    <w:pPr>
      <w:spacing w:after="160" w:line="240" w:lineRule="exact"/>
    </w:pPr>
    <w:rPr>
      <w:rFonts w:ascii="Verdana" w:hAnsi="Verdana" w:eastAsia="仿宋_GB2312"/>
      <w:szCs w:val="20"/>
      <w:lang w:eastAsia="en-US"/>
    </w:rPr>
  </w:style>
  <w:style w:type="paragraph" w:customStyle="1" w:styleId="357">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sz w:val="20"/>
      <w:szCs w:val="20"/>
    </w:rPr>
  </w:style>
  <w:style w:type="paragraph" w:customStyle="1" w:styleId="358">
    <w:name w:val="xl63"/>
    <w:basedOn w:val="1"/>
    <w:qFormat/>
    <w:uiPriority w:val="0"/>
    <w:pPr>
      <w:pBdr>
        <w:top w:val="single" w:color="auto" w:sz="4" w:space="0"/>
        <w:bottom w:val="single" w:color="auto" w:sz="4" w:space="0"/>
      </w:pBdr>
      <w:spacing w:before="100" w:beforeAutospacing="1" w:after="100" w:afterAutospacing="1"/>
      <w:jc w:val="center"/>
      <w:textAlignment w:val="bottom"/>
    </w:pPr>
    <w:rPr>
      <w:rFonts w:eastAsia="Arial Unicode MS"/>
      <w:b/>
      <w:bCs/>
      <w:color w:val="333399"/>
    </w:rPr>
  </w:style>
  <w:style w:type="paragraph" w:customStyle="1" w:styleId="35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sz w:val="20"/>
      <w:szCs w:val="20"/>
    </w:rPr>
  </w:style>
  <w:style w:type="paragraph" w:customStyle="1" w:styleId="360">
    <w:name w:val="USE 1"/>
    <w:basedOn w:val="1"/>
    <w:qFormat/>
    <w:uiPriority w:val="0"/>
    <w:pPr>
      <w:widowControl w:val="0"/>
      <w:spacing w:line="200" w:lineRule="atLeast"/>
    </w:pPr>
    <w:rPr>
      <w:rFonts w:ascii="宋体" w:hAnsi="宋体" w:eastAsia="宋体"/>
      <w:b/>
      <w:kern w:val="2"/>
      <w:szCs w:val="28"/>
    </w:rPr>
  </w:style>
  <w:style w:type="paragraph" w:customStyle="1" w:styleId="361">
    <w:name w:val="p0"/>
    <w:basedOn w:val="1"/>
    <w:qFormat/>
    <w:uiPriority w:val="0"/>
    <w:pPr>
      <w:spacing w:before="100" w:beforeAutospacing="1" w:after="100" w:afterAutospacing="1"/>
    </w:pPr>
    <w:rPr>
      <w:rFonts w:ascii="宋体" w:hAnsi="宋体" w:eastAsia="宋体" w:cs="宋体"/>
    </w:rPr>
  </w:style>
  <w:style w:type="paragraph" w:customStyle="1" w:styleId="362">
    <w:name w:val="一般正文"/>
    <w:basedOn w:val="1"/>
    <w:qFormat/>
    <w:uiPriority w:val="0"/>
    <w:pPr>
      <w:widowControl w:val="0"/>
      <w:spacing w:before="120" w:after="120" w:line="0" w:lineRule="atLeast"/>
      <w:jc w:val="both"/>
    </w:pPr>
    <w:rPr>
      <w:rFonts w:eastAsia="宋体"/>
      <w:kern w:val="2"/>
      <w:sz w:val="28"/>
      <w:szCs w:val="20"/>
    </w:rPr>
  </w:style>
  <w:style w:type="paragraph" w:customStyle="1" w:styleId="363">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0"/>
      <w:szCs w:val="20"/>
    </w:rPr>
  </w:style>
  <w:style w:type="paragraph" w:customStyle="1" w:styleId="364">
    <w:name w:val="1册标题1"/>
    <w:basedOn w:val="1"/>
    <w:next w:val="1"/>
    <w:qFormat/>
    <w:uiPriority w:val="0"/>
    <w:pPr>
      <w:widowControl w:val="0"/>
      <w:spacing w:beforeLines="50" w:afterLines="50" w:line="300" w:lineRule="auto"/>
      <w:jc w:val="center"/>
      <w:outlineLvl w:val="0"/>
    </w:pPr>
    <w:rPr>
      <w:rFonts w:ascii="Arial" w:hAnsi="Arial" w:eastAsia="黑体"/>
      <w:b/>
      <w:bCs/>
      <w:kern w:val="2"/>
      <w:sz w:val="48"/>
      <w:szCs w:val="20"/>
    </w:rPr>
  </w:style>
  <w:style w:type="paragraph" w:customStyle="1" w:styleId="365">
    <w:name w:val="Table Contents"/>
    <w:basedOn w:val="1"/>
    <w:qFormat/>
    <w:uiPriority w:val="0"/>
    <w:pPr>
      <w:widowControl w:val="0"/>
      <w:suppressAutoHyphens/>
      <w:autoSpaceDE w:val="0"/>
      <w:spacing w:after="120"/>
    </w:pPr>
    <w:rPr>
      <w:rFonts w:ascii="Helvetica" w:hAnsi="Helvetica" w:eastAsia="宋体"/>
      <w:kern w:val="1"/>
      <w:sz w:val="20"/>
      <w:szCs w:val="20"/>
    </w:rPr>
  </w:style>
  <w:style w:type="paragraph" w:customStyle="1" w:styleId="366">
    <w:name w:val="样式41"/>
    <w:basedOn w:val="1"/>
    <w:qFormat/>
    <w:uiPriority w:val="0"/>
    <w:pPr>
      <w:widowControl w:val="0"/>
      <w:tabs>
        <w:tab w:val="left" w:pos="840"/>
        <w:tab w:val="left" w:pos="945"/>
      </w:tabs>
      <w:spacing w:line="360" w:lineRule="auto"/>
      <w:ind w:left="420" w:hanging="420"/>
      <w:jc w:val="both"/>
    </w:pPr>
    <w:rPr>
      <w:rFonts w:eastAsia="宋体"/>
      <w:b/>
      <w:color w:val="000000"/>
      <w:kern w:val="2"/>
      <w:szCs w:val="20"/>
    </w:rPr>
  </w:style>
  <w:style w:type="paragraph" w:customStyle="1" w:styleId="36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Arial Unicode MS"/>
      <w:sz w:val="20"/>
      <w:szCs w:val="20"/>
    </w:rPr>
  </w:style>
  <w:style w:type="paragraph" w:customStyle="1" w:styleId="368">
    <w:name w:val="font7"/>
    <w:basedOn w:val="1"/>
    <w:qFormat/>
    <w:uiPriority w:val="0"/>
    <w:pPr>
      <w:spacing w:before="100" w:beforeAutospacing="1" w:after="100" w:afterAutospacing="1"/>
    </w:pPr>
    <w:rPr>
      <w:rFonts w:ascii="宋体" w:hAnsi="宋体" w:eastAsia="宋体" w:cs="宋体"/>
      <w:color w:val="0070C0"/>
      <w:sz w:val="20"/>
      <w:szCs w:val="20"/>
    </w:rPr>
  </w:style>
  <w:style w:type="paragraph" w:customStyle="1" w:styleId="369">
    <w:name w:val="2册标题4"/>
    <w:basedOn w:val="1"/>
    <w:next w:val="1"/>
    <w:qFormat/>
    <w:uiPriority w:val="0"/>
    <w:pPr>
      <w:widowControl w:val="0"/>
      <w:spacing w:beforeLines="50" w:afterLines="50" w:line="300" w:lineRule="auto"/>
      <w:ind w:left="420" w:leftChars="200"/>
      <w:jc w:val="both"/>
      <w:outlineLvl w:val="3"/>
    </w:pPr>
    <w:rPr>
      <w:rFonts w:ascii="Arial" w:hAnsi="Arial" w:eastAsia="幼圆" w:cs="Arial"/>
      <w:b/>
      <w:kern w:val="2"/>
    </w:rPr>
  </w:style>
  <w:style w:type="paragraph" w:customStyle="1" w:styleId="370">
    <w:name w:val="文档正文"/>
    <w:basedOn w:val="1"/>
    <w:qFormat/>
    <w:uiPriority w:val="0"/>
    <w:pPr>
      <w:widowControl w:val="0"/>
      <w:spacing w:line="360" w:lineRule="auto"/>
      <w:jc w:val="both"/>
    </w:pPr>
    <w:rPr>
      <w:rFonts w:ascii="Arial" w:hAnsi="Arial" w:eastAsia="宋体" w:cs="Arial"/>
      <w:bCs/>
      <w:kern w:val="2"/>
      <w:sz w:val="21"/>
    </w:rPr>
  </w:style>
  <w:style w:type="paragraph" w:customStyle="1" w:styleId="3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72">
    <w:name w:val="xl64"/>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bottom"/>
    </w:pPr>
    <w:rPr>
      <w:rFonts w:eastAsia="Arial Unicode MS"/>
      <w:b/>
      <w:bCs/>
      <w:color w:val="333399"/>
    </w:rPr>
  </w:style>
  <w:style w:type="paragraph" w:customStyle="1" w:styleId="373">
    <w:name w:val="(符号)五标题1.1.1"/>
    <w:basedOn w:val="1"/>
    <w:qFormat/>
    <w:uiPriority w:val="0"/>
    <w:pPr>
      <w:widowControl w:val="0"/>
      <w:tabs>
        <w:tab w:val="left" w:pos="1000"/>
        <w:tab w:val="left" w:pos="2160"/>
      </w:tabs>
      <w:spacing w:line="500" w:lineRule="exact"/>
      <w:ind w:left="2160" w:hanging="360"/>
      <w:jc w:val="both"/>
    </w:pPr>
    <w:rPr>
      <w:rFonts w:ascii="宋体" w:hAnsi="宋体" w:eastAsia="宋体"/>
      <w:color w:val="000000"/>
      <w:kern w:val="2"/>
      <w:szCs w:val="20"/>
    </w:rPr>
  </w:style>
  <w:style w:type="paragraph" w:customStyle="1" w:styleId="374">
    <w:name w:val="abo_p"/>
    <w:basedOn w:val="1"/>
    <w:qFormat/>
    <w:uiPriority w:val="0"/>
    <w:pPr>
      <w:spacing w:line="375" w:lineRule="atLeast"/>
    </w:pPr>
    <w:rPr>
      <w:rFonts w:ascii="宋体" w:hAnsi="宋体" w:eastAsia="宋体" w:cs="宋体"/>
      <w:color w:val="333333"/>
      <w:sz w:val="21"/>
      <w:szCs w:val="21"/>
    </w:rPr>
  </w:style>
  <w:style w:type="paragraph" w:customStyle="1" w:styleId="375">
    <w:name w:val="xl87"/>
    <w:basedOn w:val="1"/>
    <w:qFormat/>
    <w:uiPriority w:val="0"/>
    <w:pPr>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sz w:val="20"/>
      <w:szCs w:val="20"/>
    </w:rPr>
  </w:style>
  <w:style w:type="paragraph" w:customStyle="1" w:styleId="376">
    <w:name w:val="默认段落字体 Para Char Char Char Char"/>
    <w:basedOn w:val="1"/>
    <w:qFormat/>
    <w:uiPriority w:val="0"/>
    <w:pPr>
      <w:widowControl w:val="0"/>
      <w:jc w:val="both"/>
    </w:pPr>
    <w:rPr>
      <w:rFonts w:eastAsia="宋体"/>
      <w:kern w:val="2"/>
      <w:sz w:val="21"/>
    </w:rPr>
  </w:style>
  <w:style w:type="paragraph" w:customStyle="1" w:styleId="377">
    <w:name w:val="xl89"/>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000080"/>
      <w:sz w:val="28"/>
      <w:szCs w:val="28"/>
    </w:rPr>
  </w:style>
  <w:style w:type="paragraph" w:customStyle="1" w:styleId="378">
    <w:name w:val="表头"/>
    <w:qFormat/>
    <w:uiPriority w:val="0"/>
    <w:pPr>
      <w:widowControl w:val="0"/>
      <w:autoSpaceDE w:val="0"/>
      <w:autoSpaceDN w:val="0"/>
      <w:adjustRightInd w:val="0"/>
      <w:jc w:val="center"/>
    </w:pPr>
    <w:rPr>
      <w:rFonts w:ascii="文鼎CS中黑" w:hAnsi="Times New Roman" w:eastAsia="文鼎CS中黑" w:cs="Times New Roman"/>
      <w:sz w:val="22"/>
      <w:szCs w:val="22"/>
      <w:lang w:val="en-US" w:eastAsia="zh-CN" w:bidi="ar-SA"/>
    </w:rPr>
  </w:style>
  <w:style w:type="paragraph" w:customStyle="1" w:styleId="379">
    <w:name w:val="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380">
    <w:name w:val="xl58"/>
    <w:basedOn w:val="1"/>
    <w:qFormat/>
    <w:uiPriority w:val="0"/>
    <w:pPr>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sz w:val="20"/>
      <w:szCs w:val="20"/>
    </w:rPr>
  </w:style>
  <w:style w:type="paragraph" w:customStyle="1" w:styleId="381">
    <w:name w:val="彩色列表 - 强调文字颜色 11"/>
    <w:basedOn w:val="1"/>
    <w:qFormat/>
    <w:uiPriority w:val="0"/>
    <w:pPr>
      <w:widowControl w:val="0"/>
      <w:ind w:firstLine="420" w:firstLineChars="200"/>
      <w:jc w:val="both"/>
    </w:pPr>
    <w:rPr>
      <w:rFonts w:ascii="Calibri" w:hAnsi="Calibri" w:eastAsia="宋体"/>
      <w:kern w:val="2"/>
      <w:sz w:val="21"/>
      <w:szCs w:val="22"/>
    </w:rPr>
  </w:style>
  <w:style w:type="paragraph" w:customStyle="1" w:styleId="382">
    <w:name w:val="Char5 Char Char Char Char Char Char1"/>
    <w:basedOn w:val="1"/>
    <w:qFormat/>
    <w:uiPriority w:val="0"/>
    <w:pPr>
      <w:spacing w:after="160" w:line="240" w:lineRule="exact"/>
    </w:pPr>
    <w:rPr>
      <w:rFonts w:ascii="Verdana" w:hAnsi="Verdana" w:eastAsia="仿宋_GB2312"/>
      <w:szCs w:val="20"/>
      <w:lang w:eastAsia="en-US"/>
    </w:rPr>
  </w:style>
  <w:style w:type="paragraph" w:customStyle="1" w:styleId="383">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sz w:val="20"/>
      <w:szCs w:val="20"/>
    </w:rPr>
  </w:style>
  <w:style w:type="paragraph" w:customStyle="1" w:styleId="384">
    <w:name w:val="_Style 107"/>
    <w:basedOn w:val="1"/>
    <w:next w:val="1"/>
    <w:qFormat/>
    <w:uiPriority w:val="0"/>
    <w:pPr>
      <w:widowControl w:val="0"/>
      <w:ind w:left="1470"/>
    </w:pPr>
    <w:rPr>
      <w:rFonts w:eastAsia="宋体"/>
      <w:kern w:val="2"/>
      <w:sz w:val="21"/>
      <w:szCs w:val="21"/>
    </w:rPr>
  </w:style>
  <w:style w:type="paragraph" w:customStyle="1" w:styleId="385">
    <w:name w:val="List Paragraph1"/>
    <w:basedOn w:val="1"/>
    <w:qFormat/>
    <w:uiPriority w:val="0"/>
    <w:pPr>
      <w:widowControl w:val="0"/>
      <w:ind w:firstLine="420" w:firstLineChars="200"/>
      <w:jc w:val="both"/>
    </w:pPr>
    <w:rPr>
      <w:rFonts w:eastAsia="宋体"/>
      <w:kern w:val="2"/>
      <w:sz w:val="21"/>
    </w:rPr>
  </w:style>
  <w:style w:type="paragraph" w:customStyle="1" w:styleId="386">
    <w:name w:val="content"/>
    <w:basedOn w:val="1"/>
    <w:qFormat/>
    <w:uiPriority w:val="0"/>
    <w:pPr>
      <w:spacing w:before="192" w:after="192" w:line="240" w:lineRule="atLeast"/>
      <w:ind w:left="192" w:right="192"/>
    </w:pPr>
    <w:rPr>
      <w:rFonts w:ascii="Arial" w:hAnsi="Arial" w:eastAsia="Arial Unicode MS" w:cs="Arial"/>
      <w:color w:val="153B63"/>
      <w:sz w:val="19"/>
      <w:szCs w:val="19"/>
    </w:rPr>
  </w:style>
  <w:style w:type="paragraph" w:customStyle="1" w:styleId="387">
    <w:name w:val="xl60"/>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rPr>
  </w:style>
  <w:style w:type="paragraph" w:customStyle="1" w:styleId="388">
    <w:name w:val="1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389">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390">
    <w:name w:val="样式5"/>
    <w:basedOn w:val="1"/>
    <w:qFormat/>
    <w:uiPriority w:val="0"/>
    <w:pPr>
      <w:widowControl w:val="0"/>
      <w:tabs>
        <w:tab w:val="left" w:pos="980"/>
        <w:tab w:val="left" w:pos="2100"/>
      </w:tabs>
      <w:spacing w:line="360" w:lineRule="auto"/>
      <w:ind w:left="2100" w:hanging="420"/>
      <w:jc w:val="both"/>
    </w:pPr>
    <w:rPr>
      <w:rFonts w:eastAsia="宋体"/>
      <w:kern w:val="2"/>
      <w:szCs w:val="20"/>
    </w:rPr>
  </w:style>
  <w:style w:type="paragraph" w:customStyle="1" w:styleId="39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sz w:val="20"/>
      <w:szCs w:val="20"/>
    </w:rPr>
  </w:style>
  <w:style w:type="paragraph" w:customStyle="1" w:styleId="392">
    <w:name w:val="图"/>
    <w:basedOn w:val="1"/>
    <w:qFormat/>
    <w:uiPriority w:val="0"/>
    <w:pPr>
      <w:keepNext/>
      <w:widowControl w:val="0"/>
      <w:adjustRightInd w:val="0"/>
      <w:spacing w:before="60" w:after="60" w:line="300" w:lineRule="auto"/>
      <w:jc w:val="center"/>
      <w:textAlignment w:val="center"/>
    </w:pPr>
    <w:rPr>
      <w:rFonts w:eastAsia="宋体"/>
      <w:snapToGrid w:val="0"/>
      <w:spacing w:val="20"/>
      <w:szCs w:val="20"/>
    </w:rPr>
  </w:style>
  <w:style w:type="paragraph" w:customStyle="1" w:styleId="39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0"/>
      <w:szCs w:val="20"/>
    </w:rPr>
  </w:style>
  <w:style w:type="paragraph" w:customStyle="1" w:styleId="394">
    <w:name w:val="样式4"/>
    <w:basedOn w:val="1"/>
    <w:qFormat/>
    <w:uiPriority w:val="0"/>
    <w:pPr>
      <w:widowControl w:val="0"/>
      <w:tabs>
        <w:tab w:val="left" w:pos="757"/>
        <w:tab w:val="left" w:pos="2100"/>
      </w:tabs>
      <w:spacing w:before="120" w:after="120" w:line="360" w:lineRule="auto"/>
      <w:ind w:left="1680" w:firstLine="397"/>
      <w:jc w:val="both"/>
    </w:pPr>
    <w:rPr>
      <w:rFonts w:eastAsia="宋体"/>
      <w:b/>
      <w:kern w:val="2"/>
      <w:sz w:val="28"/>
      <w:szCs w:val="20"/>
    </w:rPr>
  </w:style>
  <w:style w:type="paragraph" w:customStyle="1" w:styleId="395">
    <w:name w:val="自定义正文"/>
    <w:basedOn w:val="1"/>
    <w:qFormat/>
    <w:uiPriority w:val="0"/>
    <w:pPr>
      <w:widowControl w:val="0"/>
      <w:spacing w:afterLines="50"/>
      <w:ind w:left="600" w:leftChars="600"/>
      <w:jc w:val="both"/>
    </w:pPr>
    <w:rPr>
      <w:rFonts w:eastAsia="宋体"/>
      <w:kern w:val="2"/>
      <w:sz w:val="21"/>
    </w:rPr>
  </w:style>
  <w:style w:type="paragraph" w:customStyle="1" w:styleId="396">
    <w:name w:val="二级"/>
    <w:basedOn w:val="1"/>
    <w:qFormat/>
    <w:uiPriority w:val="0"/>
    <w:pPr>
      <w:widowControl w:val="0"/>
      <w:jc w:val="both"/>
    </w:pPr>
    <w:rPr>
      <w:rFonts w:ascii="宋体" w:hAnsi="宋体" w:eastAsia="宋体"/>
      <w:kern w:val="2"/>
      <w:sz w:val="21"/>
      <w:szCs w:val="21"/>
    </w:rPr>
  </w:style>
  <w:style w:type="paragraph" w:customStyle="1" w:styleId="397">
    <w:name w:val="xl90"/>
    <w:basedOn w:val="1"/>
    <w:qFormat/>
    <w:uiPriority w:val="0"/>
    <w:pPr>
      <w:pBdr>
        <w:top w:val="single" w:color="auto" w:sz="4" w:space="0"/>
        <w:bottom w:val="single" w:color="auto" w:sz="4" w:space="0"/>
      </w:pBdr>
      <w:spacing w:before="100" w:beforeAutospacing="1" w:after="100" w:afterAutospacing="1"/>
      <w:jc w:val="center"/>
      <w:textAlignment w:val="bottom"/>
    </w:pPr>
    <w:rPr>
      <w:rFonts w:ascii="Arial Unicode MS" w:hAnsi="Arial Unicode MS" w:eastAsia="Arial Unicode MS" w:cs="Arial Unicode MS"/>
      <w:b/>
      <w:bCs/>
      <w:color w:val="000080"/>
      <w:sz w:val="20"/>
      <w:szCs w:val="20"/>
    </w:rPr>
  </w:style>
  <w:style w:type="paragraph" w:customStyle="1" w:styleId="3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9">
    <w:name w:val="--规划正文"/>
    <w:basedOn w:val="1"/>
    <w:qFormat/>
    <w:uiPriority w:val="99"/>
    <w:pPr>
      <w:widowControl w:val="0"/>
      <w:spacing w:line="360" w:lineRule="auto"/>
      <w:ind w:firstLine="200" w:firstLineChars="200"/>
      <w:jc w:val="both"/>
    </w:pPr>
    <w:rPr>
      <w:rFonts w:eastAsia="宋体"/>
      <w:kern w:val="2"/>
      <w:sz w:val="21"/>
      <w:szCs w:val="20"/>
    </w:rPr>
  </w:style>
  <w:style w:type="paragraph" w:customStyle="1" w:styleId="400">
    <w:name w:val="xl3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sz w:val="20"/>
      <w:szCs w:val="20"/>
    </w:rPr>
  </w:style>
  <w:style w:type="paragraph" w:customStyle="1" w:styleId="401">
    <w:name w:val="xl50"/>
    <w:basedOn w:val="1"/>
    <w:qFormat/>
    <w:uiPriority w:val="0"/>
    <w:pPr>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hint="eastAsia" w:ascii="黑体" w:hAnsi="Arial Unicode MS" w:eastAsia="黑体" w:cs="Arial Unicode MS"/>
    </w:rPr>
  </w:style>
  <w:style w:type="paragraph" w:customStyle="1" w:styleId="402">
    <w:name w:val="xl52"/>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pPr>
    <w:rPr>
      <w:rFonts w:ascii="Arial Unicode MS" w:hAnsi="Arial Unicode MS" w:eastAsia="Arial Unicode MS" w:cs="Arial Unicode MS"/>
    </w:rPr>
  </w:style>
  <w:style w:type="paragraph" w:customStyle="1" w:styleId="403">
    <w:name w:val="日期1"/>
    <w:basedOn w:val="1"/>
    <w:next w:val="1"/>
    <w:qFormat/>
    <w:uiPriority w:val="0"/>
    <w:pPr>
      <w:widowControl w:val="0"/>
      <w:adjustRightInd w:val="0"/>
      <w:spacing w:line="360" w:lineRule="auto"/>
      <w:jc w:val="both"/>
      <w:textAlignment w:val="baseline"/>
    </w:pPr>
    <w:rPr>
      <w:rFonts w:ascii="宋体" w:eastAsia="宋体"/>
      <w:spacing w:val="2"/>
      <w:kern w:val="2"/>
      <w:szCs w:val="20"/>
    </w:rPr>
  </w:style>
  <w:style w:type="paragraph" w:customStyle="1" w:styleId="404">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rPr>
  </w:style>
  <w:style w:type="paragraph" w:customStyle="1" w:styleId="405">
    <w:name w:val="xl79"/>
    <w:basedOn w:val="1"/>
    <w:qFormat/>
    <w:uiPriority w:val="0"/>
    <w:pPr>
      <w:pBdr>
        <w:top w:val="single" w:color="auto" w:sz="4" w:space="0"/>
        <w:bottom w:val="single" w:color="auto" w:sz="4" w:space="0"/>
      </w:pBdr>
      <w:shd w:val="clear" w:color="auto" w:fill="CCFFCC"/>
      <w:spacing w:before="100" w:beforeAutospacing="1" w:after="100" w:afterAutospacing="1"/>
      <w:jc w:val="center"/>
      <w:textAlignment w:val="top"/>
    </w:pPr>
    <w:rPr>
      <w:rFonts w:ascii="Arial Unicode MS" w:hAnsi="Arial Unicode MS" w:eastAsia="Arial Unicode MS" w:cs="Arial Unicode MS"/>
      <w:sz w:val="20"/>
      <w:szCs w:val="20"/>
    </w:rPr>
  </w:style>
  <w:style w:type="paragraph" w:customStyle="1" w:styleId="406">
    <w:name w:val="12册标题"/>
    <w:basedOn w:val="1"/>
    <w:next w:val="1"/>
    <w:qFormat/>
    <w:uiPriority w:val="0"/>
    <w:pPr>
      <w:widowControl w:val="0"/>
      <w:spacing w:beforeLines="50" w:afterLines="50" w:line="300" w:lineRule="auto"/>
      <w:jc w:val="center"/>
      <w:outlineLvl w:val="0"/>
    </w:pPr>
    <w:rPr>
      <w:rFonts w:ascii="Arial" w:hAnsi="Arial" w:eastAsia="黑体"/>
      <w:kern w:val="2"/>
      <w:sz w:val="44"/>
      <w:szCs w:val="20"/>
    </w:rPr>
  </w:style>
  <w:style w:type="table" w:customStyle="1" w:styleId="407">
    <w:name w:val="日历 4"/>
    <w:basedOn w:val="45"/>
    <w:qFormat/>
    <w:uiPriority w:val="99"/>
    <w:pPr>
      <w:snapToGrid w:val="0"/>
    </w:pPr>
    <w:rPr>
      <w:rFonts w:ascii="Calibri" w:hAnsi="Calibri" w:eastAsia="宋体"/>
      <w:b/>
      <w:color w:val="FFFFFF"/>
      <w:sz w:val="16"/>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b/>
        <w:i w:val="0"/>
        <w:sz w:val="72"/>
      </w:rPr>
    </w:tblStylePr>
    <w:tblStylePr w:type="band1Horz">
      <w:rPr>
        <w:sz w:val="16"/>
      </w:rPr>
    </w:tblStylePr>
    <w:tblStylePr w:type="band2Horz">
      <w:rPr>
        <w:sz w:val="40"/>
      </w:rPr>
      <w:tcPr>
        <w:tcMar>
          <w:top w:w="0" w:type="dxa"/>
          <w:left w:w="115" w:type="dxa"/>
          <w:bottom w:w="86" w:type="dxa"/>
          <w:right w:w="115" w:type="dxa"/>
        </w:tcMar>
      </w:tcPr>
    </w:tblStylePr>
    <w:tblStylePr w:type="nwCell">
      <w:rPr>
        <w:sz w:val="8"/>
      </w:rPr>
    </w:tblStylePr>
  </w:style>
  <w:style w:type="character" w:customStyle="1" w:styleId="408">
    <w:name w:val="font91"/>
    <w:basedOn w:val="4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258</Pages>
  <Words>3307</Words>
  <Characters>3379</Characters>
  <Lines>313</Lines>
  <Paragraphs>88</Paragraphs>
  <TotalTime>1</TotalTime>
  <ScaleCrop>false</ScaleCrop>
  <LinksUpToDate>false</LinksUpToDate>
  <CharactersWithSpaces>3423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2024-03-14T01:00:00Z</dcterms:created>
  <dc:creator>Administrator</dc:creator>
  <cp:lastModifiedBy>赖</cp:lastModifiedBy>
  <dcterms:modified xsi:type="dcterms:W3CDTF">2025-05-14T02:42:38Z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5C164AF45D4D411A8A0F8F6708714000_13</vt:lpwstr>
  </property>
  <property fmtid="{D5CDD505-2E9C-101B-9397-08002B2CF9AE}" pid="3" name="KSOProductBuildVer">
    <vt:lpwstr>2052-12.1.0.21171</vt:lpwstr>
  </property>
  <property fmtid="{D5CDD505-2E9C-101B-9397-08002B2CF9AE}" pid="4" name="oiioBoundaries">
    <vt:bool>true</vt:bool>
  </property>
  <property fmtid="{D5CDD505-2E9C-101B-9397-08002B2CF9AE}" pid="5" name="KSOTemplateDocerSaveRecord">
    <vt:lpwstr>eyJoZGlkIjoiYTZjNWJjMmQyNGY0ODU0MTBiZTUzZjhmYTU4Nzc2NTEiLCJ1c2VySWQiOiIzOTMyMzMzNTUifQ==</vt:lpwstr>
  </property>
</Properties>
</file>